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新宋体" w:hAnsi="新宋体" w:eastAsia="新宋体"/>
          <w:b/>
          <w:color w:val="FC0416"/>
          <w:spacing w:val="20"/>
          <w:w w:val="66"/>
          <w:sz w:val="110"/>
          <w:szCs w:val="110"/>
        </w:rPr>
      </w:pPr>
    </w:p>
    <w:p>
      <w:pPr>
        <w:jc w:val="center"/>
        <w:rPr>
          <w:rFonts w:hint="eastAsia" w:ascii="新宋体" w:hAnsi="新宋体" w:eastAsia="新宋体"/>
          <w:b/>
          <w:color w:val="FC0416"/>
          <w:spacing w:val="-11"/>
          <w:w w:val="66"/>
          <w:sz w:val="120"/>
          <w:szCs w:val="120"/>
          <w:lang w:eastAsia="zh-CN"/>
        </w:rPr>
      </w:pPr>
      <w:r>
        <w:rPr>
          <w:rFonts w:hint="eastAsia" w:ascii="新宋体" w:hAnsi="新宋体" w:eastAsia="新宋体"/>
          <w:b/>
          <w:color w:val="FC0416"/>
          <w:spacing w:val="-11"/>
          <w:w w:val="66"/>
          <w:sz w:val="120"/>
          <w:szCs w:val="120"/>
        </w:rPr>
        <w:t>长春大学学生工作部</w:t>
      </w:r>
      <w:r>
        <w:rPr>
          <w:rFonts w:hint="eastAsia" w:ascii="新宋体" w:hAnsi="新宋体" w:eastAsia="新宋体"/>
          <w:b/>
          <w:color w:val="FC0416"/>
          <w:spacing w:val="-11"/>
          <w:w w:val="66"/>
          <w:sz w:val="120"/>
          <w:szCs w:val="120"/>
          <w:lang w:eastAsia="zh-CN"/>
        </w:rPr>
        <w:t>文件</w:t>
      </w:r>
    </w:p>
    <w:p>
      <w:pPr>
        <w:spacing w:line="440" w:lineRule="exact"/>
        <w:jc w:val="center"/>
        <w:rPr>
          <w:rFonts w:ascii="仿宋_GB2312" w:hAnsi="宋体" w:eastAsia="仿宋_GB2312"/>
          <w:sz w:val="32"/>
          <w:szCs w:val="32"/>
        </w:rPr>
      </w:pPr>
      <w:r>
        <w:rPr>
          <w:rFonts w:hint="eastAsia"/>
          <w:b/>
          <w:color w:val="FF0000"/>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289560</wp:posOffset>
                </wp:positionV>
                <wp:extent cx="5455920" cy="635"/>
                <wp:effectExtent l="0" t="7620" r="0" b="14605"/>
                <wp:wrapNone/>
                <wp:docPr id="1" name="直接连接符 1"/>
                <wp:cNvGraphicFramePr/>
                <a:graphic xmlns:a="http://schemas.openxmlformats.org/drawingml/2006/main">
                  <a:graphicData uri="http://schemas.microsoft.com/office/word/2010/wordprocessingShape">
                    <wps:wsp>
                      <wps:cNvCnPr/>
                      <wps:spPr>
                        <a:xfrm>
                          <a:off x="0" y="0"/>
                          <a:ext cx="5455920" cy="635"/>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pt;margin-top:22.8pt;height:0.05pt;width:429.6pt;z-index:251659264;mso-width-relative:page;mso-height-relative:page;" filled="f" stroked="t" coordsize="21600,21600" o:gfxdata="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3e2gdgAAAAIAQAADwAAAAAAAAABACAAAAAiAAAAZHJzL2Rvd25yZXYueG1s&#10;UEsBAhQAFAAAAAgAh07iQLk/zpr4AQAA5wMAAA4AAAAAAAAAAQAgAAAAJwEAAGRycy9lMm9Eb2Mu&#10;eG1sUEsFBgAAAAAGAAYAWQEAAJEFAAAAAA==&#10;">
                <v:fill on="f" focussize="0,0"/>
                <v:stroke weight="1.25pt" color="#FF0000" joinstyle="round"/>
                <v:imagedata o:title=""/>
                <o:lock v:ext="edit" aspectratio="f"/>
              </v:line>
            </w:pict>
          </mc:Fallback>
        </mc:AlternateContent>
      </w:r>
      <w:r>
        <w:rPr>
          <w:rFonts w:ascii="仿宋" w:hAnsi="仿宋" w:eastAsia="仿宋"/>
          <w:sz w:val="32"/>
          <w:szCs w:val="32"/>
        </w:rPr>
        <w:t>学工</w:t>
      </w:r>
      <w:r>
        <w:rPr>
          <w:rFonts w:hint="eastAsia" w:ascii="仿宋" w:hAnsi="仿宋" w:eastAsia="仿宋"/>
          <w:sz w:val="32"/>
          <w:szCs w:val="32"/>
        </w:rPr>
        <w:t>部</w:t>
      </w:r>
      <w:r>
        <w:rPr>
          <w:rFonts w:ascii="仿宋" w:hAnsi="仿宋" w:eastAsia="仿宋"/>
          <w:sz w:val="32"/>
          <w:szCs w:val="32"/>
        </w:rPr>
        <w:t>〔20</w:t>
      </w:r>
      <w:r>
        <w:rPr>
          <w:rFonts w:hint="eastAsia" w:ascii="仿宋" w:hAnsi="仿宋" w:eastAsia="仿宋"/>
          <w:sz w:val="32"/>
          <w:szCs w:val="32"/>
        </w:rPr>
        <w:t>22</w:t>
      </w:r>
      <w:r>
        <w:rPr>
          <w:rFonts w:ascii="仿宋" w:hAnsi="仿宋" w:eastAsia="仿宋"/>
          <w:sz w:val="32"/>
          <w:szCs w:val="32"/>
        </w:rPr>
        <w:t>〕7号</w:t>
      </w:r>
    </w:p>
    <w:p>
      <w:pPr>
        <w:spacing w:line="520" w:lineRule="exact"/>
        <w:rPr>
          <w:rFonts w:ascii="宋体" w:hAnsi="宋体" w:cs="宋体"/>
          <w:bCs/>
          <w:sz w:val="36"/>
          <w:szCs w:val="36"/>
        </w:rPr>
      </w:pPr>
    </w:p>
    <w:p>
      <w:pPr>
        <w:spacing w:line="520" w:lineRule="exact"/>
        <w:jc w:val="center"/>
        <w:rPr>
          <w:rFonts w:ascii="仿宋" w:hAnsi="仿宋" w:eastAsia="仿宋" w:cs="仿宋"/>
          <w:kern w:val="0"/>
          <w:sz w:val="32"/>
          <w:szCs w:val="32"/>
        </w:rPr>
      </w:pPr>
      <w:r>
        <w:rPr>
          <w:rFonts w:hint="eastAsia" w:ascii="宋体" w:hAnsi="宋体" w:cs="宋体"/>
          <w:b/>
          <w:bCs/>
          <w:w w:val="90"/>
          <w:kern w:val="0"/>
          <w:sz w:val="36"/>
          <w:szCs w:val="36"/>
        </w:rPr>
        <w:t>关于</w:t>
      </w:r>
      <w:r>
        <w:rPr>
          <w:rFonts w:ascii="宋体" w:hAnsi="宋体" w:cs="宋体"/>
          <w:b/>
          <w:bCs/>
          <w:w w:val="90"/>
          <w:kern w:val="0"/>
          <w:sz w:val="36"/>
          <w:szCs w:val="36"/>
        </w:rPr>
        <w:t>印发《长春大学202</w:t>
      </w:r>
      <w:r>
        <w:rPr>
          <w:rFonts w:hint="eastAsia" w:ascii="宋体" w:hAnsi="宋体" w:cs="宋体"/>
          <w:b/>
          <w:bCs/>
          <w:w w:val="90"/>
          <w:kern w:val="0"/>
          <w:sz w:val="36"/>
          <w:szCs w:val="36"/>
        </w:rPr>
        <w:t>2</w:t>
      </w:r>
      <w:r>
        <w:rPr>
          <w:rFonts w:ascii="宋体" w:hAnsi="宋体" w:cs="宋体"/>
          <w:b/>
          <w:bCs/>
          <w:w w:val="90"/>
          <w:kern w:val="0"/>
          <w:sz w:val="36"/>
          <w:szCs w:val="36"/>
        </w:rPr>
        <w:t>级学生入学教育方案》的通知</w:t>
      </w:r>
    </w:p>
    <w:p>
      <w:pPr>
        <w:adjustRightInd w:val="0"/>
        <w:spacing w:line="520" w:lineRule="exact"/>
        <w:rPr>
          <w:rFonts w:ascii="仿宋" w:hAnsi="仿宋" w:eastAsia="仿宋" w:cs="仿宋"/>
          <w:sz w:val="32"/>
          <w:szCs w:val="32"/>
        </w:rPr>
      </w:pPr>
    </w:p>
    <w:p>
      <w:pPr>
        <w:adjustRightInd w:val="0"/>
        <w:spacing w:line="520" w:lineRule="exact"/>
        <w:rPr>
          <w:rFonts w:ascii="仿宋" w:hAnsi="仿宋" w:eastAsia="仿宋" w:cs="仿宋"/>
          <w:sz w:val="32"/>
          <w:szCs w:val="32"/>
        </w:rPr>
      </w:pPr>
    </w:p>
    <w:p>
      <w:pPr>
        <w:adjustRightInd w:val="0"/>
        <w:spacing w:line="520" w:lineRule="exact"/>
        <w:rPr>
          <w:rFonts w:ascii="仿宋" w:hAnsi="仿宋" w:eastAsia="仿宋" w:cs="仿宋"/>
          <w:sz w:val="32"/>
          <w:szCs w:val="32"/>
        </w:rPr>
      </w:pPr>
      <w:r>
        <w:rPr>
          <w:rFonts w:hint="eastAsia" w:ascii="仿宋" w:hAnsi="仿宋" w:eastAsia="仿宋" w:cs="仿宋"/>
          <w:sz w:val="32"/>
          <w:szCs w:val="32"/>
        </w:rPr>
        <w:t>各学院学办：</w:t>
      </w:r>
    </w:p>
    <w:p>
      <w:pPr>
        <w:spacing w:line="520" w:lineRule="exact"/>
        <w:ind w:firstLine="640" w:firstLineChars="200"/>
        <w:rPr>
          <w:rFonts w:ascii="仿宋" w:hAnsi="仿宋" w:eastAsia="仿宋" w:cs="仿宋"/>
          <w:kern w:val="0"/>
          <w:sz w:val="32"/>
          <w:szCs w:val="32"/>
        </w:rPr>
      </w:pPr>
      <w:r>
        <w:rPr>
          <w:rFonts w:ascii="仿宋" w:hAnsi="仿宋" w:eastAsia="仿宋" w:cs="仿宋"/>
          <w:kern w:val="0"/>
          <w:sz w:val="32"/>
          <w:szCs w:val="32"/>
        </w:rPr>
        <w:t>现将《长春大学202</w:t>
      </w:r>
      <w:r>
        <w:rPr>
          <w:rFonts w:hint="eastAsia" w:ascii="仿宋" w:hAnsi="仿宋" w:eastAsia="仿宋" w:cs="仿宋"/>
          <w:kern w:val="0"/>
          <w:sz w:val="32"/>
          <w:szCs w:val="32"/>
        </w:rPr>
        <w:t>2</w:t>
      </w:r>
      <w:r>
        <w:rPr>
          <w:rFonts w:ascii="仿宋" w:hAnsi="仿宋" w:eastAsia="仿宋" w:cs="仿宋"/>
          <w:kern w:val="0"/>
          <w:sz w:val="32"/>
          <w:szCs w:val="32"/>
        </w:rPr>
        <w:t xml:space="preserve">级学生入学教育方案》印发给你们， 请各学院结合实际，认真组织实施。 </w:t>
      </w:r>
    </w:p>
    <w:p>
      <w:pPr>
        <w:spacing w:line="520" w:lineRule="exact"/>
        <w:ind w:firstLine="640" w:firstLineChars="200"/>
        <w:rPr>
          <w:rFonts w:ascii="仿宋" w:hAnsi="仿宋" w:eastAsia="仿宋" w:cs="仿宋"/>
          <w:kern w:val="0"/>
          <w:sz w:val="32"/>
          <w:szCs w:val="32"/>
        </w:rPr>
      </w:pPr>
      <w:r>
        <w:rPr>
          <w:rFonts w:ascii="仿宋" w:hAnsi="仿宋" w:eastAsia="仿宋" w:cs="仿宋"/>
          <w:kern w:val="0"/>
          <w:sz w:val="32"/>
          <w:szCs w:val="32"/>
        </w:rPr>
        <w:t>附件：1.长春大学202</w:t>
      </w:r>
      <w:r>
        <w:rPr>
          <w:rFonts w:hint="eastAsia" w:ascii="仿宋" w:hAnsi="仿宋" w:eastAsia="仿宋" w:cs="仿宋"/>
          <w:kern w:val="0"/>
          <w:sz w:val="32"/>
          <w:szCs w:val="32"/>
        </w:rPr>
        <w:t>2</w:t>
      </w:r>
      <w:r>
        <w:rPr>
          <w:rFonts w:ascii="仿宋" w:hAnsi="仿宋" w:eastAsia="仿宋" w:cs="仿宋"/>
          <w:kern w:val="0"/>
          <w:sz w:val="32"/>
          <w:szCs w:val="32"/>
        </w:rPr>
        <w:t xml:space="preserve">级学生入学教育方案 </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 xml:space="preserve">      2.2022级学生入学教育校级层面课程安排</w:t>
      </w:r>
    </w:p>
    <w:p>
      <w:pPr>
        <w:spacing w:line="520" w:lineRule="exact"/>
        <w:ind w:left="1916" w:leftChars="760" w:hanging="320" w:hangingChars="100"/>
        <w:rPr>
          <w:rFonts w:ascii="仿宋" w:hAnsi="仿宋" w:eastAsia="仿宋" w:cs="仿宋"/>
          <w:kern w:val="0"/>
          <w:sz w:val="32"/>
          <w:szCs w:val="32"/>
        </w:rPr>
      </w:pPr>
      <w:r>
        <w:rPr>
          <w:rFonts w:hint="eastAsia" w:ascii="仿宋" w:hAnsi="仿宋" w:eastAsia="仿宋" w:cs="仿宋"/>
          <w:kern w:val="0"/>
          <w:sz w:val="32"/>
          <w:szCs w:val="32"/>
        </w:rPr>
        <w:t>3.关于线上直播观看《吉林省高校大学生生涯教育第一课》的通知</w:t>
      </w:r>
    </w:p>
    <w:p>
      <w:pPr>
        <w:spacing w:line="520" w:lineRule="exact"/>
        <w:ind w:firstLine="1600" w:firstLineChars="500"/>
        <w:rPr>
          <w:rFonts w:ascii="仿宋" w:hAnsi="仿宋" w:eastAsia="仿宋" w:cs="仿宋"/>
          <w:kern w:val="0"/>
          <w:sz w:val="32"/>
          <w:szCs w:val="32"/>
        </w:rPr>
      </w:pPr>
      <w:r>
        <w:rPr>
          <w:rFonts w:hint="eastAsia" w:ascii="仿宋" w:hAnsi="仿宋" w:eastAsia="仿宋" w:cs="仿宋"/>
          <w:kern w:val="0"/>
          <w:sz w:val="32"/>
          <w:szCs w:val="32"/>
        </w:rPr>
        <w:t>4.2022级学生入学教育院级层面日程安排表</w:t>
      </w:r>
    </w:p>
    <w:p>
      <w:pPr>
        <w:spacing w:line="520" w:lineRule="exact"/>
        <w:ind w:firstLine="1600" w:firstLineChars="500"/>
        <w:rPr>
          <w:rFonts w:ascii="仿宋" w:hAnsi="仿宋" w:eastAsia="仿宋" w:cs="仿宋"/>
          <w:kern w:val="0"/>
          <w:sz w:val="32"/>
          <w:szCs w:val="32"/>
        </w:rPr>
      </w:pPr>
    </w:p>
    <w:p>
      <w:pPr>
        <w:spacing w:line="520" w:lineRule="exact"/>
        <w:ind w:firstLine="1600" w:firstLineChars="500"/>
        <w:rPr>
          <w:rFonts w:ascii="仿宋" w:hAnsi="仿宋" w:eastAsia="仿宋" w:cs="仿宋"/>
          <w:kern w:val="0"/>
          <w:sz w:val="32"/>
          <w:szCs w:val="32"/>
        </w:rPr>
      </w:pPr>
    </w:p>
    <w:p>
      <w:pPr>
        <w:adjustRightInd w:val="0"/>
        <w:snapToGrid w:val="0"/>
        <w:spacing w:line="520" w:lineRule="exact"/>
        <w:jc w:val="right"/>
        <w:rPr>
          <w:rFonts w:ascii="仿宋" w:hAnsi="仿宋" w:eastAsia="仿宋" w:cs="宋体"/>
          <w:kern w:val="0"/>
          <w:sz w:val="32"/>
          <w:szCs w:val="32"/>
        </w:rPr>
      </w:pPr>
      <w:r>
        <w:rPr>
          <w:rFonts w:hint="eastAsia" w:ascii="仿宋" w:hAnsi="仿宋" w:eastAsia="仿宋" w:cs="宋体"/>
          <w:kern w:val="0"/>
          <w:sz w:val="32"/>
          <w:szCs w:val="32"/>
        </w:rPr>
        <w:t>长春大学党委学生工作部</w:t>
      </w:r>
    </w:p>
    <w:p>
      <w:pPr>
        <w:adjustRightInd w:val="0"/>
        <w:snapToGrid w:val="0"/>
        <w:spacing w:line="520" w:lineRule="exact"/>
        <w:ind w:firstLine="640" w:firstLineChars="200"/>
        <w:jc w:val="center"/>
        <w:rPr>
          <w:rFonts w:ascii="仿宋" w:hAnsi="仿宋" w:eastAsia="仿宋" w:cs="宋体"/>
          <w:kern w:val="0"/>
          <w:sz w:val="32"/>
          <w:szCs w:val="32"/>
          <w:highlight w:val="none"/>
        </w:rPr>
      </w:pPr>
      <w:r>
        <w:rPr>
          <w:rFonts w:hint="eastAsia" w:ascii="仿宋" w:hAnsi="仿宋" w:eastAsia="仿宋" w:cs="宋体"/>
          <w:kern w:val="0"/>
          <w:sz w:val="32"/>
          <w:szCs w:val="32"/>
        </w:rPr>
        <w:t xml:space="preserve">            </w:t>
      </w:r>
      <w:r>
        <w:rPr>
          <w:rFonts w:hint="eastAsia" w:ascii="仿宋" w:hAnsi="仿宋" w:eastAsia="仿宋" w:cs="宋体"/>
          <w:kern w:val="0"/>
          <w:sz w:val="32"/>
          <w:szCs w:val="32"/>
          <w:highlight w:val="none"/>
        </w:rPr>
        <w:t xml:space="preserve">                     2022年</w:t>
      </w:r>
      <w:r>
        <w:rPr>
          <w:rFonts w:hint="eastAsia" w:ascii="仿宋" w:hAnsi="仿宋" w:eastAsia="仿宋" w:cs="宋体"/>
          <w:kern w:val="0"/>
          <w:sz w:val="32"/>
          <w:szCs w:val="32"/>
          <w:highlight w:val="none"/>
          <w:lang w:val="en-US" w:eastAsia="zh-CN"/>
        </w:rPr>
        <w:t>9</w:t>
      </w:r>
      <w:r>
        <w:rPr>
          <w:rFonts w:hint="eastAsia" w:ascii="仿宋" w:hAnsi="仿宋" w:eastAsia="仿宋" w:cs="宋体"/>
          <w:kern w:val="0"/>
          <w:sz w:val="32"/>
          <w:szCs w:val="32"/>
          <w:highlight w:val="none"/>
        </w:rPr>
        <w:t>月</w:t>
      </w:r>
      <w:r>
        <w:rPr>
          <w:rFonts w:hint="eastAsia" w:ascii="仿宋" w:hAnsi="仿宋" w:eastAsia="仿宋" w:cs="宋体"/>
          <w:kern w:val="0"/>
          <w:sz w:val="32"/>
          <w:szCs w:val="32"/>
          <w:highlight w:val="none"/>
          <w:lang w:val="en-US" w:eastAsia="zh-CN"/>
        </w:rPr>
        <w:t>2</w:t>
      </w:r>
      <w:r>
        <w:rPr>
          <w:rFonts w:hint="eastAsia" w:ascii="仿宋" w:hAnsi="仿宋" w:eastAsia="仿宋" w:cs="宋体"/>
          <w:kern w:val="0"/>
          <w:sz w:val="32"/>
          <w:szCs w:val="32"/>
          <w:highlight w:val="none"/>
        </w:rPr>
        <w:t>日</w:t>
      </w:r>
    </w:p>
    <w:p>
      <w:pPr>
        <w:adjustRightInd w:val="0"/>
        <w:snapToGrid w:val="0"/>
        <w:spacing w:line="520" w:lineRule="exact"/>
        <w:rPr>
          <w:rFonts w:ascii="仿宋" w:hAnsi="仿宋" w:eastAsia="仿宋" w:cs="宋体"/>
          <w:kern w:val="0"/>
          <w:sz w:val="32"/>
          <w:szCs w:val="3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tcPr>
          <w:p>
            <w:pPr>
              <w:spacing w:line="480" w:lineRule="exact"/>
              <w:rPr>
                <w:rFonts w:ascii="仿宋" w:hAnsi="仿宋" w:eastAsia="仿宋"/>
                <w:sz w:val="32"/>
                <w:szCs w:val="32"/>
                <w:highlight w:val="none"/>
              </w:rPr>
            </w:pPr>
            <w:r>
              <w:rPr>
                <w:rFonts w:hint="eastAsia" w:ascii="仿宋" w:hAnsi="仿宋" w:eastAsia="仿宋"/>
                <w:sz w:val="32"/>
                <w:szCs w:val="32"/>
                <w:highlight w:val="none"/>
              </w:rPr>
              <w:t xml:space="preserve">长春大学党委学生工作部           </w:t>
            </w: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rPr>
              <w:t xml:space="preserve">   2022年</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日印发</w:t>
            </w:r>
          </w:p>
        </w:tc>
      </w:tr>
    </w:tbl>
    <w:p>
      <w:pPr>
        <w:tabs>
          <w:tab w:val="center" w:pos="4422"/>
          <w:tab w:val="right" w:pos="8845"/>
        </w:tabs>
        <w:spacing w:line="480" w:lineRule="exact"/>
        <w:jc w:val="left"/>
        <w:rPr>
          <w:rFonts w:hint="eastAsia" w:ascii="仿宋" w:hAnsi="仿宋" w:eastAsia="仿宋" w:cs="仿宋"/>
          <w:sz w:val="32"/>
          <w:szCs w:val="32"/>
        </w:rPr>
      </w:pPr>
      <w:r>
        <w:rPr>
          <w:rFonts w:ascii="仿宋" w:hAnsi="仿宋" w:eastAsia="仿宋"/>
          <w:sz w:val="32"/>
          <w:szCs w:val="32"/>
        </w:rPr>
        <w:tab/>
      </w:r>
      <w:r>
        <w:rPr>
          <w:rFonts w:ascii="仿宋" w:hAnsi="仿宋" w:eastAsia="仿宋"/>
          <w:sz w:val="32"/>
          <w:szCs w:val="32"/>
        </w:rPr>
        <w:tab/>
      </w:r>
      <w:r>
        <w:rPr>
          <w:rFonts w:hint="eastAsia" w:ascii="仿宋" w:hAnsi="仿宋" w:eastAsia="仿宋"/>
          <w:sz w:val="32"/>
          <w:szCs w:val="32"/>
        </w:rPr>
        <w:t>（共印2</w:t>
      </w:r>
      <w:r>
        <w:rPr>
          <w:rFonts w:ascii="仿宋" w:hAnsi="仿宋" w:eastAsia="仿宋"/>
          <w:sz w:val="32"/>
          <w:szCs w:val="32"/>
        </w:rPr>
        <w:t>5</w:t>
      </w:r>
      <w:r>
        <w:rPr>
          <w:rFonts w:hint="eastAsia" w:ascii="仿宋" w:hAnsi="仿宋" w:eastAsia="仿宋"/>
          <w:sz w:val="32"/>
          <w:szCs w:val="32"/>
        </w:rPr>
        <w:t>份）</w:t>
      </w:r>
    </w:p>
    <w:p>
      <w:pPr>
        <w:rPr>
          <w:rFonts w:ascii="仿宋" w:hAnsi="仿宋" w:eastAsia="仿宋" w:cs="仿宋"/>
          <w:sz w:val="32"/>
          <w:szCs w:val="32"/>
        </w:rPr>
      </w:pPr>
      <w:r>
        <w:rPr>
          <w:rFonts w:hint="eastAsia" w:ascii="仿宋" w:hAnsi="仿宋" w:eastAsia="仿宋" w:cs="仿宋"/>
          <w:sz w:val="32"/>
          <w:szCs w:val="32"/>
        </w:rPr>
        <w:t>附件1</w:t>
      </w:r>
    </w:p>
    <w:p>
      <w:pPr>
        <w:jc w:val="center"/>
        <w:rPr>
          <w:rFonts w:asciiTheme="minorEastAsia" w:hAnsiTheme="minorEastAsia" w:eastAsiaTheme="minorEastAsia"/>
          <w:b/>
          <w:bCs/>
          <w:sz w:val="36"/>
          <w:szCs w:val="36"/>
        </w:rPr>
      </w:pPr>
      <w:r>
        <w:rPr>
          <w:rFonts w:asciiTheme="minorEastAsia" w:hAnsiTheme="minorEastAsia" w:eastAsiaTheme="minorEastAsia"/>
          <w:b/>
          <w:bCs/>
          <w:sz w:val="36"/>
          <w:szCs w:val="36"/>
        </w:rPr>
        <w:t>长春大学202</w:t>
      </w:r>
      <w:r>
        <w:rPr>
          <w:rFonts w:hint="eastAsia" w:asciiTheme="minorEastAsia" w:hAnsiTheme="minorEastAsia" w:eastAsiaTheme="minorEastAsia"/>
          <w:b/>
          <w:bCs/>
          <w:sz w:val="36"/>
          <w:szCs w:val="36"/>
        </w:rPr>
        <w:t>2</w:t>
      </w:r>
      <w:r>
        <w:rPr>
          <w:rFonts w:asciiTheme="minorEastAsia" w:hAnsiTheme="minorEastAsia" w:eastAsiaTheme="minorEastAsia"/>
          <w:b/>
          <w:bCs/>
          <w:sz w:val="36"/>
          <w:szCs w:val="36"/>
        </w:rPr>
        <w:t>级学生入学教育方案</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新生入学教育，是开启学生大学生涯的重要起点，是引领大学生扣好大学“第一粒扣子”的重要环节，是做好大学生思想政治工作的重要内容。为了帮助新生尽快适应大学学习生活，顺利实现角色转变，明确学习目标和人生理想，树立正确的世界观、人生观、价值观。结合学校实际，制定本方案。</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一、总体思路 </w:t>
      </w:r>
    </w:p>
    <w:p>
      <w:pPr>
        <w:ind w:firstLine="640" w:firstLineChars="200"/>
        <w:rPr>
          <w:rFonts w:ascii="仿宋" w:hAnsi="仿宋" w:eastAsia="仿宋" w:cs="仿宋"/>
          <w:sz w:val="32"/>
          <w:szCs w:val="32"/>
        </w:rPr>
      </w:pPr>
      <w:r>
        <w:rPr>
          <w:rFonts w:hint="eastAsia" w:ascii="仿宋" w:hAnsi="仿宋" w:eastAsia="仿宋" w:cs="仿宋"/>
          <w:sz w:val="32"/>
          <w:szCs w:val="32"/>
        </w:rPr>
        <w:t>开展新生入学教育，要以习近平新时代中国特色社会主义思想为指引，以实现立德树人为根本任务，坚持“以学生为本”的工作理念，把思想政治工作贯穿新生入学教育全过程。紧密结合当前疫情防控形势，以及学校和学院实际情况，</w:t>
      </w:r>
      <w:r>
        <w:rPr>
          <w:rFonts w:hint="eastAsia" w:ascii="仿宋" w:hAnsi="仿宋" w:eastAsia="仿宋" w:cs="仿宋"/>
          <w:spacing w:val="12"/>
          <w:sz w:val="32"/>
          <w:szCs w:val="32"/>
          <w:shd w:val="clear" w:color="auto" w:fill="FFFFFF"/>
        </w:rPr>
        <w:t>立足学生思想发展、学业发展、心理发展等特点，加强顶层设计，超前谋划，多措并举，扎实做好新生入学教育工作，</w:t>
      </w:r>
      <w:r>
        <w:rPr>
          <w:rFonts w:hint="eastAsia" w:ascii="仿宋" w:hAnsi="仿宋" w:eastAsia="仿宋" w:cs="仿宋"/>
          <w:sz w:val="32"/>
          <w:szCs w:val="32"/>
        </w:rPr>
        <w:t>构建系统完整、特色鲜明、切实有效的入学教育体系。</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二、教育主题 </w:t>
      </w:r>
    </w:p>
    <w:p>
      <w:pPr>
        <w:ind w:firstLine="640" w:firstLineChars="200"/>
        <w:rPr>
          <w:rFonts w:ascii="仿宋" w:hAnsi="仿宋" w:eastAsia="仿宋" w:cs="仿宋"/>
          <w:sz w:val="32"/>
          <w:szCs w:val="32"/>
        </w:rPr>
      </w:pPr>
      <w:r>
        <w:rPr>
          <w:rFonts w:hint="eastAsia" w:ascii="仿宋" w:hAnsi="仿宋" w:eastAsia="仿宋" w:cs="仿宋"/>
          <w:sz w:val="32"/>
          <w:szCs w:val="32"/>
        </w:rPr>
        <w:t>助力起航，引领成长，肩负使命，心向未来。</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三、教育时间</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集中教育时间：</w:t>
      </w:r>
      <w:r>
        <w:rPr>
          <w:rFonts w:hint="eastAsia" w:ascii="仿宋" w:hAnsi="仿宋" w:eastAsia="仿宋" w:cs="仿宋"/>
          <w:sz w:val="32"/>
          <w:szCs w:val="32"/>
          <w:highlight w:val="none"/>
        </w:rPr>
        <w:t xml:space="preserve">2022年9月5日至2022年9月11日 </w:t>
      </w:r>
    </w:p>
    <w:p>
      <w:pPr>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分散教育时间：贯穿全学年开展新生入学教育</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四、教育安排 </w:t>
      </w:r>
    </w:p>
    <w:p>
      <w:pPr>
        <w:ind w:firstLine="640" w:firstLineChars="200"/>
        <w:rPr>
          <w:rFonts w:ascii="仿宋" w:hAnsi="仿宋" w:eastAsia="仿宋" w:cs="仿宋"/>
          <w:sz w:val="32"/>
          <w:szCs w:val="32"/>
        </w:rPr>
      </w:pPr>
      <w:r>
        <w:rPr>
          <w:rFonts w:hint="eastAsia" w:ascii="仿宋" w:hAnsi="仿宋" w:eastAsia="仿宋" w:cs="仿宋"/>
          <w:sz w:val="32"/>
          <w:szCs w:val="32"/>
        </w:rPr>
        <w:t>入学教育采取学校集中教育和学院分散教育相结合的形式。从校、院两个层面，结合当前疫情防控形势分阶段、分层次的深入细致的开展新生入学教育。</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学校层面，一是开设主题教育网络课程，组织学生观看学习学生工作部（处）、教务处、校团委、心理健康教育中心、就业创业指导中心、校医院录制的网络视频课程（见附件2）；二是依托“慧就业”平台组织学生线上观看“吉林省高校大学生生涯教育第一课” 直播（见附件3），让同学们通过“云端”开启梦想的新起点。</w:t>
      </w:r>
    </w:p>
    <w:p>
      <w:pPr>
        <w:ind w:firstLine="640" w:firstLineChars="200"/>
        <w:rPr>
          <w:rFonts w:ascii="仿宋" w:hAnsi="仿宋" w:eastAsia="仿宋" w:cs="仿宋"/>
          <w:spacing w:val="12"/>
          <w:sz w:val="32"/>
          <w:szCs w:val="32"/>
          <w:shd w:val="clear" w:color="auto" w:fill="FFFFFF"/>
        </w:rPr>
      </w:pPr>
      <w:r>
        <w:rPr>
          <w:rFonts w:hint="eastAsia" w:ascii="仿宋" w:hAnsi="仿宋" w:eastAsia="仿宋" w:cs="仿宋"/>
          <w:sz w:val="32"/>
          <w:szCs w:val="32"/>
        </w:rPr>
        <w:t>学院层面，学院班子成员、两办主任、辅导员、专业课教师要与新生线上见面，根据专业特色，围绕</w:t>
      </w:r>
      <w:r>
        <w:rPr>
          <w:rStyle w:val="9"/>
          <w:rFonts w:hint="eastAsia" w:ascii="仿宋" w:hAnsi="仿宋" w:eastAsia="仿宋" w:cs="仿宋"/>
          <w:b w:val="0"/>
          <w:spacing w:val="12"/>
          <w:sz w:val="32"/>
          <w:szCs w:val="32"/>
          <w:shd w:val="clear" w:color="auto" w:fill="FFFFFF"/>
        </w:rPr>
        <w:t>护航教育、领航教育、启航教育、导航教育，</w:t>
      </w:r>
      <w:r>
        <w:rPr>
          <w:rFonts w:hint="eastAsia" w:ascii="仿宋" w:hAnsi="仿宋" w:eastAsia="仿宋" w:cs="仿宋"/>
          <w:sz w:val="32"/>
          <w:szCs w:val="32"/>
        </w:rPr>
        <w:t>立足管理育人、铸魂育人、</w:t>
      </w:r>
      <w:r>
        <w:rPr>
          <w:rFonts w:hint="eastAsia" w:ascii="仿宋" w:hAnsi="仿宋" w:eastAsia="仿宋" w:cs="仿宋"/>
          <w:spacing w:val="12"/>
          <w:sz w:val="32"/>
          <w:szCs w:val="32"/>
          <w:shd w:val="clear" w:color="auto" w:fill="FFFFFF"/>
        </w:rPr>
        <w:t>文化育人、专业育人，</w:t>
      </w:r>
      <w:r>
        <w:rPr>
          <w:rFonts w:hint="eastAsia" w:ascii="仿宋" w:hAnsi="仿宋" w:eastAsia="仿宋" w:cs="仿宋"/>
          <w:sz w:val="32"/>
          <w:szCs w:val="32"/>
        </w:rPr>
        <w:t>结合学院实际情况，开展相应的线上教育活动。</w:t>
      </w:r>
    </w:p>
    <w:p>
      <w:pPr>
        <w:pStyle w:val="5"/>
        <w:widowControl/>
        <w:shd w:val="clear" w:color="auto" w:fill="FFFFFF"/>
        <w:spacing w:beforeAutospacing="0" w:afterAutospacing="0"/>
        <w:ind w:firstLine="691" w:firstLineChars="200"/>
        <w:jc w:val="both"/>
        <w:rPr>
          <w:rFonts w:ascii="仿宋" w:hAnsi="仿宋" w:eastAsia="仿宋" w:cs="仿宋"/>
          <w:b/>
          <w:bCs/>
          <w:sz w:val="32"/>
          <w:szCs w:val="32"/>
        </w:rPr>
      </w:pPr>
      <w:r>
        <w:rPr>
          <w:rStyle w:val="9"/>
          <w:rFonts w:hint="eastAsia" w:ascii="仿宋" w:hAnsi="仿宋" w:eastAsia="仿宋" w:cs="仿宋"/>
          <w:spacing w:val="12"/>
          <w:sz w:val="32"/>
          <w:szCs w:val="32"/>
          <w:shd w:val="clear" w:color="auto" w:fill="FFFFFF"/>
        </w:rPr>
        <w:t>（一）护航教育——牢固平安成长之基</w:t>
      </w:r>
    </w:p>
    <w:p>
      <w:pPr>
        <w:ind w:firstLine="643" w:firstLineChars="200"/>
        <w:rPr>
          <w:rFonts w:ascii="仿宋" w:hAnsi="仿宋" w:eastAsia="仿宋" w:cs="仿宋"/>
          <w:sz w:val="32"/>
          <w:szCs w:val="32"/>
        </w:rPr>
      </w:pPr>
      <w:r>
        <w:rPr>
          <w:rFonts w:hint="eastAsia" w:ascii="仿宋" w:hAnsi="仿宋" w:eastAsia="仿宋" w:cs="仿宋"/>
          <w:b/>
          <w:sz w:val="32"/>
          <w:szCs w:val="32"/>
        </w:rPr>
        <w:t>（1）安全教育。</w:t>
      </w:r>
      <w:r>
        <w:rPr>
          <w:rFonts w:hint="eastAsia" w:ascii="仿宋" w:hAnsi="仿宋" w:eastAsia="仿宋" w:cs="仿宋"/>
          <w:sz w:val="32"/>
          <w:szCs w:val="32"/>
        </w:rPr>
        <w:t>要坚持安全第一，预防为主的原则。通过开展以意识形态安全、人身财产安全、消防安全、网络安全、公寓安全等为主要内容的安全教育活动，教育引导学生增强安全防范意识和应对突发事件的能力。</w:t>
      </w:r>
    </w:p>
    <w:p>
      <w:pPr>
        <w:ind w:firstLine="643" w:firstLineChars="200"/>
        <w:rPr>
          <w:rFonts w:ascii="仿宋" w:hAnsi="仿宋" w:eastAsia="仿宋" w:cs="仿宋"/>
          <w:sz w:val="32"/>
          <w:szCs w:val="32"/>
        </w:rPr>
      </w:pPr>
      <w:r>
        <w:rPr>
          <w:rFonts w:hint="eastAsia" w:ascii="仿宋" w:hAnsi="仿宋" w:eastAsia="仿宋" w:cs="仿宋"/>
          <w:b/>
          <w:bCs/>
          <w:sz w:val="32"/>
          <w:szCs w:val="32"/>
        </w:rPr>
        <w:t>（2）疫情防控教育。</w:t>
      </w:r>
      <w:r>
        <w:rPr>
          <w:rFonts w:hint="eastAsia" w:ascii="仿宋" w:hAnsi="仿宋" w:eastAsia="仿宋" w:cs="仿宋"/>
          <w:sz w:val="32"/>
          <w:szCs w:val="32"/>
        </w:rPr>
        <w:t>做好常态化新冠肺炎疫情防控教育，向新生和家长开展防疫知识宣传及防疫指导，提示学生报到前做好自我健康监测，按照学校的相关规定，如实上报体温、健康状况以及行程轨迹等。帮助学生掌握个人防护与消毒等知识和技能，提示学生在入学报到途中做好各项防护措施，按照要求配合防控人员进行健康监测与防疫管理，遇有异常情况及时报告学校。做好入校报到当日疫情防控指导工作，提示学生严格按照学校报到流程要求，配合做好疫情防控工作。为学生详细解读相关防疫要求，了解各项防控制度，教育引导学生服从管理、严守纪律，积极主动配合学校疫情防控工作。</w:t>
      </w:r>
    </w:p>
    <w:p>
      <w:pPr>
        <w:tabs>
          <w:tab w:val="left" w:pos="3241"/>
        </w:tabs>
        <w:ind w:firstLine="643" w:firstLineChars="200"/>
        <w:rPr>
          <w:rFonts w:ascii="仿宋" w:hAnsi="仿宋" w:eastAsia="仿宋" w:cs="仿宋"/>
          <w:sz w:val="32"/>
          <w:szCs w:val="32"/>
        </w:rPr>
      </w:pPr>
      <w:r>
        <w:rPr>
          <w:rFonts w:hint="eastAsia" w:ascii="仿宋" w:hAnsi="仿宋" w:eastAsia="仿宋" w:cs="仿宋"/>
          <w:b/>
          <w:bCs/>
          <w:sz w:val="32"/>
          <w:szCs w:val="32"/>
        </w:rPr>
        <w:t>（3）心理健康教育。</w:t>
      </w:r>
      <w:r>
        <w:rPr>
          <w:rFonts w:hint="eastAsia" w:ascii="仿宋" w:hAnsi="仿宋" w:eastAsia="仿宋" w:cs="仿宋"/>
          <w:sz w:val="32"/>
          <w:szCs w:val="32"/>
        </w:rPr>
        <w:t>关注学生在新环境、新人际关系下的心理动态。通过开展心理普查、</w:t>
      </w:r>
      <w:r>
        <w:rPr>
          <w:rFonts w:hint="eastAsia" w:ascii="仿宋" w:hAnsi="仿宋" w:eastAsia="仿宋" w:cs="仿宋"/>
          <w:spacing w:val="12"/>
          <w:sz w:val="32"/>
          <w:szCs w:val="32"/>
          <w:shd w:val="clear" w:color="auto" w:fill="FFFFFF"/>
        </w:rPr>
        <w:t>心理辅导、</w:t>
      </w:r>
      <w:r>
        <w:rPr>
          <w:rFonts w:hint="eastAsia" w:ascii="仿宋" w:hAnsi="仿宋" w:eastAsia="仿宋" w:cs="仿宋"/>
          <w:sz w:val="32"/>
          <w:szCs w:val="32"/>
        </w:rPr>
        <w:t>心理体验活动、</w:t>
      </w:r>
      <w:r>
        <w:rPr>
          <w:rFonts w:hint="eastAsia" w:ascii="仿宋" w:hAnsi="仿宋" w:eastAsia="仿宋" w:cs="仿宋"/>
          <w:spacing w:val="12"/>
          <w:sz w:val="32"/>
          <w:szCs w:val="32"/>
          <w:shd w:val="clear" w:color="auto" w:fill="FFFFFF"/>
        </w:rPr>
        <w:t>心理健康教育专题讲座</w:t>
      </w:r>
      <w:r>
        <w:rPr>
          <w:rFonts w:hint="eastAsia" w:ascii="仿宋" w:hAnsi="仿宋" w:eastAsia="仿宋" w:cs="仿宋"/>
          <w:sz w:val="32"/>
          <w:szCs w:val="32"/>
        </w:rPr>
        <w:t>等，增强学生心理调适能力，注重疫情防控期间学生心理变化，做好疏导和引导教育工作，开展丰富多彩的校园文化活动，使学生拥有积极向上、开朗乐观的心态。</w:t>
      </w:r>
    </w:p>
    <w:p>
      <w:pPr>
        <w:pStyle w:val="5"/>
        <w:widowControl/>
        <w:shd w:val="clear" w:color="auto" w:fill="FFFFFF"/>
        <w:spacing w:beforeAutospacing="0" w:afterAutospacing="0"/>
        <w:ind w:firstLine="691" w:firstLineChars="200"/>
        <w:jc w:val="both"/>
        <w:rPr>
          <w:rStyle w:val="9"/>
          <w:rFonts w:ascii="仿宋" w:hAnsi="仿宋" w:eastAsia="仿宋" w:cs="仿宋"/>
          <w:spacing w:val="12"/>
          <w:kern w:val="2"/>
          <w:sz w:val="32"/>
          <w:szCs w:val="32"/>
          <w:shd w:val="clear" w:color="auto" w:fill="FFFFFF"/>
        </w:rPr>
      </w:pPr>
      <w:r>
        <w:rPr>
          <w:rStyle w:val="9"/>
          <w:rFonts w:hint="eastAsia" w:ascii="仿宋" w:hAnsi="仿宋" w:eastAsia="仿宋" w:cs="仿宋"/>
          <w:spacing w:val="12"/>
          <w:sz w:val="32"/>
          <w:szCs w:val="32"/>
          <w:shd w:val="clear" w:color="auto" w:fill="FFFFFF"/>
        </w:rPr>
        <w:t>（二）领航教育——筑牢理想信念之基</w:t>
      </w:r>
    </w:p>
    <w:p>
      <w:pPr>
        <w:numPr>
          <w:ilvl w:val="0"/>
          <w:numId w:val="1"/>
        </w:numPr>
        <w:ind w:firstLine="643" w:firstLineChars="200"/>
        <w:rPr>
          <w:rFonts w:ascii="仿宋" w:hAnsi="仿宋" w:eastAsia="仿宋" w:cs="仿宋"/>
          <w:sz w:val="32"/>
          <w:szCs w:val="32"/>
        </w:rPr>
      </w:pPr>
      <w:r>
        <w:rPr>
          <w:rFonts w:hint="eastAsia" w:ascii="仿宋" w:hAnsi="仿宋" w:eastAsia="仿宋" w:cs="仿宋"/>
          <w:b/>
          <w:bCs/>
          <w:sz w:val="32"/>
          <w:szCs w:val="32"/>
        </w:rPr>
        <w:t>思想政治教育</w:t>
      </w:r>
      <w:r>
        <w:rPr>
          <w:rFonts w:hint="eastAsia" w:ascii="仿宋" w:hAnsi="仿宋" w:eastAsia="仿宋" w:cs="仿宋"/>
          <w:sz w:val="32"/>
          <w:szCs w:val="32"/>
        </w:rPr>
        <w:t xml:space="preserve">。开展理想信念和爱国主义教育活动，带领新生认真学习贯彻党的十九大以来习近平总书记系列重要讲话精神，引导学生自觉践行社会主义核心价值观。通过上党课、讲党史、学习先进典型、举办党团知识竞赛、组织观看历史文献纪录片等形式，开展中国特色社会主义、中国梦、“四史”学习教育，激发学生的爱国主义情怀，将报国之志转化为强国之行。    </w:t>
      </w:r>
    </w:p>
    <w:p>
      <w:pPr>
        <w:pStyle w:val="5"/>
        <w:spacing w:beforeAutospacing="0" w:afterAutospacing="0"/>
        <w:ind w:firstLine="643" w:firstLineChars="200"/>
        <w:jc w:val="both"/>
        <w:rPr>
          <w:rFonts w:ascii="仿宋" w:hAnsi="仿宋" w:eastAsia="仿宋" w:cs="仿宋"/>
          <w:sz w:val="32"/>
          <w:szCs w:val="32"/>
        </w:rPr>
      </w:pPr>
      <w:r>
        <w:rPr>
          <w:rFonts w:hint="eastAsia" w:ascii="仿宋" w:hAnsi="仿宋" w:eastAsia="仿宋" w:cs="仿宋"/>
          <w:b/>
          <w:bCs/>
          <w:kern w:val="2"/>
          <w:sz w:val="32"/>
          <w:szCs w:val="32"/>
        </w:rPr>
        <w:t>（2）国防知识教育。</w:t>
      </w:r>
      <w:r>
        <w:rPr>
          <w:rFonts w:hint="eastAsia" w:ascii="仿宋" w:hAnsi="仿宋" w:eastAsia="仿宋" w:cs="仿宋"/>
          <w:kern w:val="2"/>
          <w:sz w:val="32"/>
          <w:szCs w:val="32"/>
        </w:rPr>
        <w:t>增强新生的国防知识教育，培养学生的爱国热情，增强团结协作精神，磨练意志，强健体魄，帮助他们以健康的生活习惯和良好的精神状态投入大学生活。积极宣讲大学生征兵入伍政策，使关心国防、热爱国防、建设国防、保卫国防成为学生的思想共识和自觉行动，立爱国之志，学国防之事，鼓励他们报效祖国，建功立业。</w:t>
      </w:r>
    </w:p>
    <w:p>
      <w:pPr>
        <w:widowControl/>
        <w:ind w:firstLine="643" w:firstLineChars="200"/>
        <w:rPr>
          <w:rFonts w:ascii="仿宋" w:hAnsi="仿宋" w:eastAsia="仿宋" w:cs="仿宋"/>
          <w:sz w:val="32"/>
          <w:szCs w:val="32"/>
        </w:rPr>
      </w:pPr>
      <w:r>
        <w:rPr>
          <w:rFonts w:hint="eastAsia" w:ascii="仿宋" w:hAnsi="仿宋" w:eastAsia="仿宋" w:cs="仿宋"/>
          <w:b/>
          <w:bCs/>
          <w:sz w:val="32"/>
          <w:szCs w:val="32"/>
        </w:rPr>
        <w:t>（3）诚实守信教育。</w:t>
      </w:r>
      <w:r>
        <w:rPr>
          <w:rFonts w:hint="eastAsia" w:ascii="仿宋" w:hAnsi="仿宋" w:eastAsia="仿宋" w:cs="仿宋"/>
          <w:sz w:val="32"/>
          <w:szCs w:val="32"/>
        </w:rPr>
        <w:t>加强学生诚实守信的意识，弘扬诚实守信等传统美德，把疫情当教材，讲诚信守诚信，如实填写行程记录，信守承诺，疫情防控期间自觉遵守学校规章制度。建务实院风，树诚信考风，树立正确的诚信价值观，在学院营造良好的道德环境。</w:t>
      </w:r>
    </w:p>
    <w:p>
      <w:pPr>
        <w:widowControl/>
        <w:ind w:firstLine="643" w:firstLineChars="200"/>
        <w:rPr>
          <w:rFonts w:ascii="仿宋" w:hAnsi="仿宋" w:eastAsia="仿宋" w:cs="仿宋"/>
          <w:spacing w:val="12"/>
          <w:sz w:val="32"/>
          <w:szCs w:val="32"/>
        </w:rPr>
      </w:pPr>
      <w:r>
        <w:rPr>
          <w:rFonts w:hint="eastAsia" w:ascii="仿宋" w:hAnsi="仿宋" w:eastAsia="仿宋" w:cs="仿宋"/>
          <w:b/>
          <w:bCs/>
          <w:sz w:val="32"/>
          <w:szCs w:val="32"/>
        </w:rPr>
        <w:t>（4）青春榜样教育。</w:t>
      </w:r>
      <w:r>
        <w:rPr>
          <w:rFonts w:hint="eastAsia" w:ascii="仿宋" w:hAnsi="仿宋" w:eastAsia="仿宋" w:cs="仿宋"/>
          <w:sz w:val="32"/>
          <w:szCs w:val="32"/>
        </w:rPr>
        <w:t>在学生中树立先进典型，引导学生骨干、党员以身作则，请优秀的学长学姐、优秀毕业生、考研毕业生经验交流、报告等形式开展活动，使同学们学有榜样，赶有方向。</w:t>
      </w:r>
    </w:p>
    <w:p>
      <w:pPr>
        <w:pStyle w:val="5"/>
        <w:widowControl/>
        <w:shd w:val="clear" w:color="auto" w:fill="FFFFFF"/>
        <w:spacing w:beforeAutospacing="0" w:afterAutospacing="0"/>
        <w:ind w:firstLine="691" w:firstLineChars="200"/>
        <w:jc w:val="both"/>
        <w:rPr>
          <w:rStyle w:val="9"/>
          <w:rFonts w:ascii="仿宋" w:hAnsi="仿宋" w:eastAsia="仿宋" w:cs="仿宋"/>
          <w:spacing w:val="12"/>
          <w:kern w:val="2"/>
          <w:sz w:val="32"/>
          <w:szCs w:val="32"/>
          <w:shd w:val="clear" w:color="auto" w:fill="FFFFFF"/>
        </w:rPr>
      </w:pPr>
      <w:r>
        <w:rPr>
          <w:rStyle w:val="9"/>
          <w:rFonts w:hint="eastAsia" w:ascii="仿宋" w:hAnsi="仿宋" w:eastAsia="仿宋" w:cs="仿宋"/>
          <w:spacing w:val="12"/>
          <w:sz w:val="32"/>
          <w:szCs w:val="32"/>
          <w:shd w:val="clear" w:color="auto" w:fill="FFFFFF"/>
        </w:rPr>
        <w:t>（三）启航教育——夯实筑梦奋进之基</w:t>
      </w:r>
    </w:p>
    <w:p>
      <w:pPr>
        <w:numPr>
          <w:ilvl w:val="0"/>
          <w:numId w:val="2"/>
        </w:numPr>
        <w:ind w:firstLine="643" w:firstLineChars="200"/>
        <w:rPr>
          <w:rFonts w:ascii="仿宋" w:hAnsi="仿宋" w:eastAsia="仿宋" w:cs="仿宋"/>
          <w:sz w:val="32"/>
          <w:szCs w:val="32"/>
        </w:rPr>
      </w:pPr>
      <w:r>
        <w:rPr>
          <w:rFonts w:hint="eastAsia" w:ascii="仿宋" w:hAnsi="仿宋" w:eastAsia="仿宋" w:cs="仿宋"/>
          <w:b/>
          <w:bCs/>
          <w:sz w:val="32"/>
          <w:szCs w:val="32"/>
        </w:rPr>
        <w:t>校史校情教育。</w:t>
      </w:r>
      <w:r>
        <w:rPr>
          <w:rFonts w:hint="eastAsia" w:ascii="仿宋" w:hAnsi="仿宋" w:eastAsia="仿宋" w:cs="仿宋"/>
          <w:sz w:val="32"/>
          <w:szCs w:val="32"/>
        </w:rPr>
        <w:t>帮助学生认识长大、了解长大，通过讲座、班会、见面会等形式介绍学校的发展历史、学校现状、学校特色等，组织新生观看学校专题宣传片、学唱校歌、团风之歌，学习校训、举办“团风”事迹报告会等活动。增强学生对长春大学的认同感、归属感和自豪感，使长大学子能够观校史知校情，行校训铸校魂。</w:t>
      </w:r>
    </w:p>
    <w:p>
      <w:pPr>
        <w:ind w:firstLine="643" w:firstLineChars="200"/>
        <w:rPr>
          <w:rFonts w:ascii="仿宋" w:hAnsi="仿宋" w:eastAsia="仿宋" w:cs="仿宋"/>
          <w:sz w:val="32"/>
          <w:szCs w:val="32"/>
        </w:rPr>
      </w:pPr>
      <w:r>
        <w:rPr>
          <w:rFonts w:hint="eastAsia" w:ascii="仿宋" w:hAnsi="仿宋" w:eastAsia="仿宋" w:cs="仿宋"/>
          <w:b/>
          <w:bCs/>
          <w:sz w:val="32"/>
          <w:szCs w:val="32"/>
        </w:rPr>
        <w:t>（2）适应性教育。</w:t>
      </w:r>
      <w:r>
        <w:rPr>
          <w:rFonts w:hint="eastAsia" w:ascii="仿宋" w:hAnsi="仿宋" w:eastAsia="仿宋" w:cs="仿宋"/>
          <w:sz w:val="32"/>
          <w:szCs w:val="32"/>
        </w:rPr>
        <w:t>学生报到后，通过组织班会、学习生活交流会、线上分享交流会等形式开展活动，帮助学生相互了解和熟悉，详细的为学生讲解学校周边环境、了解校园生活常识、学校资源的使用、学科竞赛的项目、志愿服务活动等，使学生尽快适应和融入大学生活，实现生活上的成功进阶。重点解决新生在新环境学习生活、人际交往等方面的困惑和不适，引导学生完成身份转变，构建正确的“大学观”。</w:t>
      </w:r>
    </w:p>
    <w:p>
      <w:pPr>
        <w:pStyle w:val="5"/>
        <w:widowControl/>
        <w:shd w:val="clear" w:color="auto" w:fill="FFFFFF"/>
        <w:spacing w:beforeAutospacing="0" w:afterAutospacing="0"/>
        <w:ind w:firstLine="643" w:firstLineChars="200"/>
        <w:jc w:val="both"/>
        <w:rPr>
          <w:rFonts w:ascii="仿宋" w:hAnsi="仿宋" w:eastAsia="仿宋" w:cs="仿宋"/>
          <w:sz w:val="32"/>
          <w:szCs w:val="32"/>
        </w:rPr>
      </w:pPr>
      <w:r>
        <w:rPr>
          <w:rFonts w:hint="eastAsia" w:ascii="仿宋" w:hAnsi="仿宋" w:eastAsia="仿宋" w:cs="仿宋"/>
          <w:b/>
          <w:bCs/>
          <w:kern w:val="2"/>
          <w:sz w:val="32"/>
          <w:szCs w:val="32"/>
        </w:rPr>
        <w:t>(3)行为规</w:t>
      </w:r>
      <w:r>
        <w:rPr>
          <w:rFonts w:hint="eastAsia" w:ascii="仿宋" w:hAnsi="仿宋" w:eastAsia="仿宋" w:cs="仿宋"/>
          <w:b/>
          <w:bCs/>
          <w:sz w:val="32"/>
          <w:szCs w:val="32"/>
        </w:rPr>
        <w:t>范教育。</w:t>
      </w:r>
      <w:r>
        <w:rPr>
          <w:rFonts w:hint="eastAsia" w:ascii="仿宋" w:hAnsi="仿宋" w:eastAsia="仿宋" w:cs="仿宋"/>
          <w:sz w:val="32"/>
          <w:szCs w:val="32"/>
        </w:rPr>
        <w:t>引导学生践行社会主义核心价值观，培养优良学风，讲解学校管理规定、公寓管理规定、纪律处分规定、奖助补政策，</w:t>
      </w:r>
      <w:r>
        <w:rPr>
          <w:rFonts w:hint="eastAsia" w:ascii="仿宋" w:hAnsi="仿宋" w:eastAsia="仿宋" w:cs="仿宋"/>
          <w:spacing w:val="12"/>
          <w:sz w:val="32"/>
          <w:szCs w:val="32"/>
          <w:shd w:val="clear" w:color="auto" w:fill="FFFFFF"/>
        </w:rPr>
        <w:t>引导新生自觉遵守国家法律法规和校规校纪，</w:t>
      </w:r>
      <w:r>
        <w:rPr>
          <w:rFonts w:hint="eastAsia" w:ascii="仿宋" w:hAnsi="仿宋" w:eastAsia="仿宋" w:cs="仿宋"/>
          <w:sz w:val="32"/>
          <w:szCs w:val="32"/>
        </w:rPr>
        <w:t>创建优良班风、校风。通过对新生举止得体、言谈文明等方面的教育，强化学生日常行为规范引领，加强学生文明行为规范教育，使新生养成讲文明、懂礼貌的良好风气，成为新时代四有青年。</w:t>
      </w:r>
    </w:p>
    <w:p>
      <w:pPr>
        <w:pStyle w:val="5"/>
        <w:widowControl/>
        <w:shd w:val="clear" w:color="auto" w:fill="FFFFFF"/>
        <w:spacing w:beforeAutospacing="0" w:afterAutospacing="0"/>
        <w:ind w:firstLine="691" w:firstLineChars="200"/>
        <w:jc w:val="both"/>
        <w:rPr>
          <w:rFonts w:ascii="仿宋" w:hAnsi="仿宋" w:eastAsia="仿宋" w:cs="仿宋"/>
          <w:b/>
          <w:bCs/>
          <w:sz w:val="32"/>
          <w:szCs w:val="32"/>
        </w:rPr>
      </w:pPr>
      <w:r>
        <w:rPr>
          <w:rStyle w:val="9"/>
          <w:rFonts w:hint="eastAsia" w:ascii="仿宋" w:hAnsi="仿宋" w:eastAsia="仿宋" w:cs="仿宋"/>
          <w:spacing w:val="12"/>
          <w:sz w:val="32"/>
          <w:szCs w:val="32"/>
          <w:shd w:val="clear" w:color="auto" w:fill="FFFFFF"/>
        </w:rPr>
        <w:t>（四）导航教育——坚固学习学业之基</w:t>
      </w:r>
    </w:p>
    <w:p>
      <w:pPr>
        <w:widowControl/>
        <w:ind w:firstLine="643" w:firstLineChars="200"/>
        <w:rPr>
          <w:rFonts w:ascii="仿宋" w:hAnsi="仿宋" w:eastAsia="仿宋" w:cs="仿宋"/>
          <w:sz w:val="32"/>
          <w:szCs w:val="32"/>
        </w:rPr>
      </w:pPr>
      <w:r>
        <w:rPr>
          <w:rFonts w:hint="eastAsia" w:ascii="仿宋" w:hAnsi="仿宋" w:eastAsia="仿宋" w:cs="仿宋"/>
          <w:b/>
          <w:bCs/>
          <w:sz w:val="32"/>
          <w:szCs w:val="32"/>
        </w:rPr>
        <w:t>（1）学业专业教育。</w:t>
      </w:r>
      <w:r>
        <w:rPr>
          <w:rFonts w:hint="eastAsia" w:ascii="仿宋" w:hAnsi="仿宋" w:eastAsia="仿宋" w:cs="仿宋"/>
          <w:sz w:val="32"/>
          <w:szCs w:val="32"/>
        </w:rPr>
        <w:t>加强师生学习交流，组织学科带头人、专业负责人、系主任、骨干教师等持续开展专业教育。专家和老师们分别从专业发展、学习目标、学习方法、常用在线学习平台（或软件）使用、课程设置、实习实践、考研就业等方面向新生做详尽的介绍，并针对新生提出的问题进行详细的答疑和解惑，增强学生专业认同感，端正学习态度，增进在线学习技能、树立学习自信，合理制定学业目标，使学生能够学有所知、学有所想、学有所用。</w:t>
      </w:r>
    </w:p>
    <w:p>
      <w:pPr>
        <w:widowControl/>
        <w:ind w:firstLine="643" w:firstLineChars="200"/>
        <w:rPr>
          <w:rFonts w:ascii="仿宋" w:hAnsi="仿宋" w:eastAsia="仿宋" w:cs="仿宋"/>
          <w:sz w:val="32"/>
          <w:szCs w:val="32"/>
        </w:rPr>
      </w:pPr>
      <w:r>
        <w:rPr>
          <w:rFonts w:hint="eastAsia" w:ascii="仿宋" w:hAnsi="仿宋" w:eastAsia="仿宋" w:cs="仿宋"/>
          <w:b/>
          <w:bCs/>
          <w:sz w:val="32"/>
          <w:szCs w:val="32"/>
        </w:rPr>
        <w:t>（2）教学教育管理。</w:t>
      </w:r>
      <w:r>
        <w:rPr>
          <w:rFonts w:hint="eastAsia" w:ascii="仿宋" w:hAnsi="仿宋" w:eastAsia="仿宋" w:cs="仿宋"/>
          <w:sz w:val="32"/>
          <w:szCs w:val="32"/>
        </w:rPr>
        <w:t>讲解学籍管理、成绩考核、创新创业、毕业及学位授予条件等与学生学习生活和成长发展密切相关的内容，帮助学生明确学习目的和目标，增强对专业学习的信心和动力，提升创新创业兴趣与灵感、科学合理规划学业及学习生活。通过对学校教育教学相关规章制度的教育，引导学生树立正确的学习观，增强学生学业危机意识，调动学生学习的积极性与主动性，养成良好学习习惯，引导学生更好的成长成才。</w:t>
      </w:r>
    </w:p>
    <w:p>
      <w:pPr>
        <w:ind w:firstLine="643" w:firstLineChars="200"/>
        <w:rPr>
          <w:rFonts w:ascii="仿宋" w:hAnsi="仿宋" w:eastAsia="仿宋" w:cs="仿宋"/>
          <w:sz w:val="32"/>
          <w:szCs w:val="32"/>
        </w:rPr>
      </w:pPr>
      <w:r>
        <w:rPr>
          <w:rFonts w:hint="eastAsia" w:ascii="仿宋" w:hAnsi="仿宋" w:eastAsia="仿宋" w:cs="仿宋"/>
          <w:b/>
          <w:bCs/>
          <w:sz w:val="32"/>
          <w:szCs w:val="32"/>
        </w:rPr>
        <w:t>（3）生涯规划教育。</w:t>
      </w:r>
      <w:r>
        <w:rPr>
          <w:rFonts w:hint="eastAsia" w:ascii="仿宋" w:hAnsi="仿宋" w:eastAsia="仿宋" w:cs="仿宋"/>
          <w:sz w:val="32"/>
          <w:szCs w:val="32"/>
        </w:rPr>
        <w:t>结合专业认知教育，开展生涯规划教育，引导对“学习为什么、大学学什么、将来做什么”等现实问题做深入思考，使学生意识到确立自身学业发展目标的重要性，逐步确立长远而稳定的学业发展目标，增强大学学习的目的性、积极性并积极投身学习行动之中。各学院要积极为学生提供学业规划具体指导，帮助学生尽早树立学业规划意识并督促做好学业规划。同时，结合学业生涯规划教育，加强对新生职业生涯规划与指导，启发学生正确认识自我，使新生尽早制定真正适合自己的职业生涯规划。</w:t>
      </w:r>
    </w:p>
    <w:p>
      <w:pPr>
        <w:widowControl/>
        <w:ind w:firstLine="643" w:firstLineChars="200"/>
        <w:rPr>
          <w:rFonts w:ascii="仿宋" w:hAnsi="仿宋" w:eastAsia="仿宋" w:cs="仿宋"/>
          <w:sz w:val="32"/>
          <w:szCs w:val="32"/>
        </w:rPr>
      </w:pPr>
      <w:r>
        <w:rPr>
          <w:rFonts w:hint="eastAsia" w:ascii="仿宋" w:hAnsi="仿宋" w:eastAsia="仿宋" w:cs="仿宋"/>
          <w:b/>
          <w:bCs/>
          <w:sz w:val="32"/>
          <w:szCs w:val="32"/>
        </w:rPr>
        <w:t>（4）双边教育。</w:t>
      </w:r>
      <w:r>
        <w:rPr>
          <w:rFonts w:hint="eastAsia" w:ascii="仿宋" w:hAnsi="仿宋" w:eastAsia="仿宋" w:cs="仿宋"/>
          <w:sz w:val="32"/>
          <w:szCs w:val="32"/>
        </w:rPr>
        <w:t>准确地把握学生的基本情况，了解学生的思想动态和需求。学院可以通过开展“新生&amp;家长微课堂”活动，召开网络新生家长见面会，加强学生家长与学校的沟通，促进家长对学校及学院的了解，建立认同感和归属感，家校共同关注学生成长、成才，形成教育合力。</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五、相关要求</w:t>
      </w:r>
    </w:p>
    <w:p>
      <w:pPr>
        <w:widowControl/>
        <w:ind w:firstLine="643" w:firstLineChars="200"/>
        <w:rPr>
          <w:rFonts w:ascii="仿宋" w:hAnsi="仿宋" w:eastAsia="仿宋" w:cs="仿宋"/>
          <w:sz w:val="32"/>
          <w:szCs w:val="32"/>
        </w:rPr>
      </w:pPr>
      <w:r>
        <w:rPr>
          <w:rFonts w:hint="eastAsia" w:ascii="仿宋" w:hAnsi="仿宋" w:eastAsia="仿宋" w:cs="仿宋"/>
          <w:b/>
          <w:bCs/>
          <w:sz w:val="32"/>
          <w:szCs w:val="32"/>
        </w:rPr>
        <w:t>1.注重统筹安排。</w:t>
      </w:r>
      <w:r>
        <w:rPr>
          <w:rFonts w:hint="eastAsia" w:ascii="仿宋" w:hAnsi="仿宋" w:eastAsia="仿宋" w:cs="仿宋"/>
          <w:sz w:val="32"/>
          <w:szCs w:val="32"/>
        </w:rPr>
        <w:t xml:space="preserve">各学院要加强组织领导，注重统筹协调。 </w:t>
      </w:r>
      <w:r>
        <w:rPr>
          <w:rFonts w:hint="eastAsia" w:ascii="仿宋" w:hAnsi="仿宋" w:eastAsia="仿宋" w:cs="仿宋"/>
          <w:b/>
          <w:bCs/>
          <w:sz w:val="32"/>
          <w:szCs w:val="32"/>
        </w:rPr>
        <w:t>一是</w:t>
      </w:r>
      <w:r>
        <w:rPr>
          <w:rFonts w:hint="eastAsia" w:ascii="仿宋" w:hAnsi="仿宋" w:eastAsia="仿宋" w:cs="仿宋"/>
          <w:sz w:val="32"/>
          <w:szCs w:val="32"/>
        </w:rPr>
        <w:t>提前规划、合理安排，</w:t>
      </w:r>
      <w:r>
        <w:rPr>
          <w:rFonts w:hint="eastAsia" w:ascii="仿宋" w:hAnsi="仿宋" w:eastAsia="仿宋" w:cs="仿宋"/>
          <w:b/>
          <w:bCs/>
          <w:sz w:val="32"/>
          <w:szCs w:val="32"/>
          <w:u w:val="single"/>
        </w:rPr>
        <w:t>根据各自专业特点和实际情况制定详细的学院新生入学教育实施计划，</w:t>
      </w:r>
      <w:r>
        <w:rPr>
          <w:rFonts w:hint="eastAsia" w:ascii="仿宋" w:hAnsi="仿宋" w:eastAsia="仿宋" w:cs="仿宋"/>
          <w:b/>
          <w:bCs/>
          <w:sz w:val="32"/>
          <w:szCs w:val="32"/>
          <w:u w:val="single"/>
          <w:lang w:val="en-US" w:eastAsia="zh-CN"/>
        </w:rPr>
        <w:t>以及填写</w:t>
      </w:r>
      <w:r>
        <w:rPr>
          <w:rFonts w:hint="eastAsia" w:ascii="仿宋" w:hAnsi="仿宋" w:eastAsia="仿宋" w:cs="仿宋"/>
          <w:b/>
          <w:bCs/>
          <w:sz w:val="32"/>
          <w:szCs w:val="32"/>
          <w:u w:val="single"/>
        </w:rPr>
        <w:t>2022级</w:t>
      </w:r>
      <w:r>
        <w:rPr>
          <w:rFonts w:hint="eastAsia" w:ascii="仿宋" w:hAnsi="仿宋" w:eastAsia="仿宋" w:cs="仿宋"/>
          <w:b/>
          <w:bCs/>
          <w:sz w:val="32"/>
          <w:szCs w:val="32"/>
          <w:u w:val="single"/>
          <w:lang w:val="en-US" w:eastAsia="zh-CN"/>
        </w:rPr>
        <w:t>学生</w:t>
      </w:r>
      <w:r>
        <w:rPr>
          <w:rFonts w:hint="eastAsia" w:ascii="仿宋" w:hAnsi="仿宋" w:eastAsia="仿宋" w:cs="仿宋"/>
          <w:b/>
          <w:bCs/>
          <w:sz w:val="32"/>
          <w:szCs w:val="32"/>
          <w:u w:val="single"/>
        </w:rPr>
        <w:t>入学教育院级层面</w:t>
      </w:r>
      <w:r>
        <w:rPr>
          <w:rFonts w:hint="eastAsia" w:ascii="仿宋" w:hAnsi="仿宋" w:eastAsia="仿宋" w:cs="仿宋"/>
          <w:b/>
          <w:bCs/>
          <w:sz w:val="32"/>
          <w:szCs w:val="32"/>
          <w:u w:val="single"/>
          <w:lang w:val="en-US" w:eastAsia="zh-CN"/>
        </w:rPr>
        <w:t>日</w:t>
      </w:r>
      <w:r>
        <w:rPr>
          <w:rFonts w:hint="eastAsia" w:ascii="仿宋" w:hAnsi="仿宋" w:eastAsia="仿宋" w:cs="仿宋"/>
          <w:b/>
          <w:bCs/>
          <w:sz w:val="32"/>
          <w:szCs w:val="32"/>
          <w:u w:val="single"/>
        </w:rPr>
        <w:t>程安排</w:t>
      </w:r>
      <w:r>
        <w:rPr>
          <w:rFonts w:hint="eastAsia" w:ascii="仿宋" w:hAnsi="仿宋" w:eastAsia="仿宋" w:cs="仿宋"/>
          <w:b/>
          <w:bCs/>
          <w:sz w:val="32"/>
          <w:szCs w:val="32"/>
          <w:u w:val="single"/>
          <w:lang w:val="en-US" w:eastAsia="zh-CN"/>
        </w:rPr>
        <w:t>表</w:t>
      </w:r>
      <w:r>
        <w:rPr>
          <w:rFonts w:hint="eastAsia" w:ascii="仿宋" w:hAnsi="仿宋" w:eastAsia="仿宋" w:cs="仿宋"/>
          <w:b/>
          <w:bCs/>
          <w:sz w:val="32"/>
          <w:szCs w:val="32"/>
          <w:u w:val="single"/>
        </w:rPr>
        <w:t>（附件4）请</w:t>
      </w:r>
      <w:bookmarkStart w:id="0" w:name="_GoBack"/>
      <w:bookmarkEnd w:id="0"/>
      <w:r>
        <w:rPr>
          <w:rFonts w:hint="eastAsia" w:ascii="仿宋" w:hAnsi="仿宋" w:eastAsia="仿宋" w:cs="仿宋"/>
          <w:b/>
          <w:bCs/>
          <w:sz w:val="32"/>
          <w:szCs w:val="32"/>
          <w:u w:val="single"/>
        </w:rPr>
        <w:t>于 2022年9月7日前</w:t>
      </w:r>
      <w:r>
        <w:fldChar w:fldCharType="begin"/>
      </w:r>
      <w:r>
        <w:instrText xml:space="preserve"> HYPERLINK "mailto:2022年8月16日前形成活动总结报告，将电子版报送到电子邮箱381518346@qq.com。" </w:instrText>
      </w:r>
      <w:r>
        <w:fldChar w:fldCharType="separate"/>
      </w:r>
      <w:r>
        <w:rPr>
          <w:rStyle w:val="11"/>
          <w:rFonts w:hint="eastAsia" w:ascii="仿宋" w:hAnsi="仿宋" w:eastAsia="仿宋" w:cs="仿宋"/>
          <w:b/>
          <w:bCs/>
          <w:color w:val="auto"/>
          <w:sz w:val="32"/>
          <w:szCs w:val="32"/>
        </w:rPr>
        <w:t>将电子版报送到电子邮箱381518346@qq.com。</w:t>
      </w:r>
      <w:r>
        <w:rPr>
          <w:rStyle w:val="11"/>
          <w:rFonts w:hint="eastAsia" w:ascii="仿宋" w:hAnsi="仿宋" w:eastAsia="仿宋" w:cs="仿宋"/>
          <w:b/>
          <w:bCs/>
          <w:color w:val="auto"/>
          <w:sz w:val="32"/>
          <w:szCs w:val="32"/>
        </w:rPr>
        <w:fldChar w:fldCharType="end"/>
      </w:r>
      <w:r>
        <w:rPr>
          <w:rFonts w:hint="eastAsia" w:ascii="仿宋" w:hAnsi="仿宋" w:eastAsia="仿宋" w:cs="仿宋"/>
          <w:b/>
          <w:bCs/>
          <w:sz w:val="32"/>
          <w:szCs w:val="32"/>
        </w:rPr>
        <w:t>二是</w:t>
      </w:r>
      <w:r>
        <w:rPr>
          <w:rFonts w:hint="eastAsia" w:ascii="仿宋" w:hAnsi="仿宋" w:eastAsia="仿宋" w:cs="仿宋"/>
          <w:sz w:val="32"/>
          <w:szCs w:val="32"/>
        </w:rPr>
        <w:t>领导带头示范、亲自参与，充分调动辅导员、专业教师、学生骨干的积极性，将新生入学教育作为推进三全育人的重要环节，有计划、分步骤、按层次地做好新生入学教育工作，切实将各项教育活动落实到学生个体。</w:t>
      </w:r>
      <w:r>
        <w:rPr>
          <w:rFonts w:hint="eastAsia" w:ascii="仿宋" w:hAnsi="仿宋" w:eastAsia="仿宋" w:cs="仿宋"/>
          <w:b/>
          <w:bCs/>
          <w:sz w:val="32"/>
          <w:szCs w:val="32"/>
        </w:rPr>
        <w:t>三是</w:t>
      </w:r>
      <w:r>
        <w:rPr>
          <w:rFonts w:hint="eastAsia" w:ascii="仿宋" w:hAnsi="仿宋" w:eastAsia="仿宋" w:cs="仿宋"/>
          <w:sz w:val="32"/>
          <w:szCs w:val="32"/>
        </w:rPr>
        <w:t xml:space="preserve">组织新生下载今日校园APP、关注 “长春大学学生工作处”、“长大团风冲锋号”、“长大松果生涯”、“长大心生活”等微信公众号，充分发挥网络育人成效。 </w:t>
      </w:r>
    </w:p>
    <w:p>
      <w:pPr>
        <w:widowControl/>
        <w:ind w:firstLine="643" w:firstLineChars="200"/>
        <w:rPr>
          <w:rFonts w:ascii="仿宋" w:hAnsi="仿宋" w:eastAsia="仿宋" w:cs="仿宋"/>
          <w:sz w:val="32"/>
          <w:szCs w:val="32"/>
        </w:rPr>
      </w:pPr>
      <w:r>
        <w:rPr>
          <w:rFonts w:hint="eastAsia" w:ascii="仿宋" w:hAnsi="仿宋" w:eastAsia="仿宋" w:cs="仿宋"/>
          <w:b/>
          <w:bCs/>
          <w:sz w:val="32"/>
          <w:szCs w:val="32"/>
        </w:rPr>
        <w:t>2.注重教育实效。</w:t>
      </w:r>
      <w:r>
        <w:rPr>
          <w:rFonts w:hint="eastAsia" w:ascii="仿宋" w:hAnsi="仿宋" w:eastAsia="仿宋" w:cs="仿宋"/>
          <w:sz w:val="32"/>
          <w:szCs w:val="32"/>
        </w:rPr>
        <w:t>各学院要创新形式、丰富内容，综合利用各种宣传载体，增强教育效果，保证教育时间，注重将内容落细落实，确保教育活动有序进行并取得实效。请各学院及时总结宣传，并于</w:t>
      </w:r>
      <w:r>
        <w:rPr>
          <w:rFonts w:hint="eastAsia" w:ascii="仿宋" w:hAnsi="仿宋" w:eastAsia="仿宋" w:cs="仿宋"/>
          <w:b/>
          <w:bCs/>
          <w:sz w:val="32"/>
          <w:szCs w:val="32"/>
          <w:u w:val="single"/>
        </w:rPr>
        <w:t xml:space="preserve"> 2022年11月15日前报送学院新生入学教育工作总结，</w:t>
      </w:r>
      <w:r>
        <w:rPr>
          <w:rFonts w:hint="eastAsia" w:ascii="仿宋" w:hAnsi="仿宋" w:eastAsia="仿宋" w:cs="仿宋"/>
          <w:b/>
          <w:bCs/>
          <w:sz w:val="32"/>
          <w:szCs w:val="32"/>
          <w:u w:val="single"/>
        </w:rPr>
        <w:fldChar w:fldCharType="begin"/>
      </w:r>
      <w:r>
        <w:rPr>
          <w:rFonts w:hint="eastAsia" w:ascii="仿宋" w:hAnsi="仿宋" w:eastAsia="仿宋" w:cs="仿宋"/>
          <w:b/>
          <w:bCs/>
          <w:sz w:val="32"/>
          <w:szCs w:val="32"/>
          <w:u w:val="single"/>
        </w:rPr>
        <w:instrText xml:space="preserve"> HYPERLINK "mailto:电子版报送到电子邮箱381518346@qq.com。" </w:instrText>
      </w:r>
      <w:r>
        <w:rPr>
          <w:rFonts w:hint="eastAsia" w:ascii="仿宋" w:hAnsi="仿宋" w:eastAsia="仿宋" w:cs="仿宋"/>
          <w:b/>
          <w:bCs/>
          <w:sz w:val="32"/>
          <w:szCs w:val="32"/>
          <w:u w:val="single"/>
        </w:rPr>
        <w:fldChar w:fldCharType="separate"/>
      </w:r>
      <w:r>
        <w:rPr>
          <w:rFonts w:hint="eastAsia" w:ascii="仿宋" w:hAnsi="仿宋" w:eastAsia="仿宋" w:cs="仿宋"/>
          <w:b/>
          <w:bCs/>
          <w:sz w:val="32"/>
          <w:szCs w:val="32"/>
          <w:u w:val="single"/>
        </w:rPr>
        <w:t>电子版报送到电子邮箱381518346@qq.com。</w:t>
      </w:r>
      <w:r>
        <w:rPr>
          <w:rFonts w:hint="eastAsia" w:ascii="仿宋" w:hAnsi="仿宋" w:eastAsia="仿宋" w:cs="仿宋"/>
          <w:b/>
          <w:bCs/>
          <w:sz w:val="32"/>
          <w:szCs w:val="32"/>
          <w:u w:val="single"/>
        </w:rPr>
        <w:fldChar w:fldCharType="end"/>
      </w:r>
      <w:r>
        <w:rPr>
          <w:rFonts w:hint="eastAsia" w:ascii="仿宋" w:hAnsi="仿宋" w:eastAsia="仿宋" w:cs="仿宋"/>
          <w:sz w:val="32"/>
          <w:szCs w:val="32"/>
        </w:rPr>
        <w:t>（文字+照片）。</w:t>
      </w:r>
    </w:p>
    <w:p>
      <w:pPr>
        <w:widowControl/>
        <w:ind w:firstLine="640" w:firstLineChars="200"/>
        <w:rPr>
          <w:rFonts w:ascii="仿宋" w:hAnsi="仿宋" w:eastAsia="仿宋" w:cs="仿宋"/>
          <w:sz w:val="32"/>
          <w:szCs w:val="32"/>
        </w:rPr>
      </w:pPr>
    </w:p>
    <w:p>
      <w:pPr>
        <w:widowControl/>
        <w:ind w:firstLine="640" w:firstLineChars="200"/>
        <w:rPr>
          <w:rFonts w:ascii="仿宋" w:hAnsi="仿宋" w:eastAsia="仿宋" w:cs="仿宋"/>
          <w:sz w:val="32"/>
          <w:szCs w:val="32"/>
        </w:rPr>
      </w:pPr>
    </w:p>
    <w:p>
      <w:pPr>
        <w:widowControl/>
        <w:ind w:firstLine="640" w:firstLineChars="200"/>
        <w:rPr>
          <w:rFonts w:ascii="仿宋" w:hAnsi="仿宋" w:eastAsia="仿宋" w:cs="仿宋"/>
          <w:sz w:val="32"/>
          <w:szCs w:val="32"/>
        </w:rPr>
      </w:pPr>
    </w:p>
    <w:p>
      <w:pPr>
        <w:widowControl/>
        <w:ind w:firstLine="640" w:firstLineChars="200"/>
        <w:rPr>
          <w:rFonts w:ascii="仿宋" w:hAnsi="仿宋" w:eastAsia="仿宋" w:cs="仿宋"/>
          <w:sz w:val="32"/>
          <w:szCs w:val="32"/>
        </w:rPr>
      </w:pPr>
    </w:p>
    <w:p>
      <w:pPr>
        <w:adjustRightInd w:val="0"/>
        <w:snapToGrid w:val="0"/>
        <w:spacing w:line="520" w:lineRule="exact"/>
        <w:jc w:val="right"/>
        <w:rPr>
          <w:rFonts w:ascii="仿宋" w:hAnsi="仿宋" w:eastAsia="仿宋" w:cs="宋体"/>
          <w:kern w:val="0"/>
          <w:sz w:val="32"/>
          <w:szCs w:val="32"/>
        </w:rPr>
      </w:pPr>
      <w:r>
        <w:rPr>
          <w:rFonts w:hint="eastAsia" w:ascii="仿宋" w:hAnsi="仿宋" w:eastAsia="仿宋" w:cs="宋体"/>
          <w:kern w:val="0"/>
          <w:sz w:val="32"/>
          <w:szCs w:val="32"/>
        </w:rPr>
        <w:t>长春大学党委学生工作部</w:t>
      </w:r>
    </w:p>
    <w:p>
      <w:pPr>
        <w:widowControl/>
        <w:ind w:firstLine="6080" w:firstLineChars="1900"/>
        <w:rPr>
          <w:rFonts w:ascii="仿宋" w:hAnsi="仿宋" w:eastAsia="仿宋" w:cs="仿宋"/>
          <w:sz w:val="32"/>
          <w:szCs w:val="32"/>
          <w:highlight w:val="none"/>
        </w:rPr>
        <w:sectPr>
          <w:footerReference r:id="rId3" w:type="default"/>
          <w:pgSz w:w="11907" w:h="16840"/>
          <w:pgMar w:top="1701" w:right="1531" w:bottom="1247" w:left="1531" w:header="851" w:footer="992" w:gutter="0"/>
          <w:pgNumType w:fmt="numberInDash" w:start="1"/>
          <w:cols w:space="720" w:num="1"/>
          <w:docGrid w:type="lines" w:linePitch="312" w:charSpace="645"/>
        </w:sectPr>
      </w:pPr>
      <w:r>
        <w:rPr>
          <w:rFonts w:hint="eastAsia" w:ascii="仿宋" w:hAnsi="仿宋" w:eastAsia="仿宋" w:cs="仿宋"/>
          <w:sz w:val="32"/>
          <w:szCs w:val="32"/>
          <w:highlight w:val="none"/>
        </w:rPr>
        <w:t>2022年</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日</w:t>
      </w:r>
    </w:p>
    <w:p>
      <w:pPr>
        <w:jc w:val="left"/>
        <w:rPr>
          <w:rFonts w:ascii="仿宋" w:hAnsi="仿宋" w:eastAsia="仿宋" w:cs="仿宋"/>
          <w:sz w:val="32"/>
          <w:szCs w:val="32"/>
        </w:rPr>
      </w:pPr>
      <w:r>
        <w:rPr>
          <w:rFonts w:hint="eastAsia" w:ascii="仿宋" w:hAnsi="仿宋" w:eastAsia="仿宋" w:cs="仿宋"/>
          <w:sz w:val="32"/>
          <w:szCs w:val="32"/>
        </w:rPr>
        <w:t>附件2</w:t>
      </w:r>
    </w:p>
    <w:p>
      <w:pPr>
        <w:widowControl/>
        <w:jc w:val="center"/>
        <w:rPr>
          <w:sz w:val="36"/>
          <w:szCs w:val="36"/>
        </w:rPr>
      </w:pPr>
      <w:r>
        <w:rPr>
          <w:rFonts w:hint="eastAsia"/>
          <w:b/>
          <w:bCs/>
          <w:sz w:val="36"/>
          <w:szCs w:val="36"/>
        </w:rPr>
        <w:t>2022级学生入学教育校级层面课程安排</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6130"/>
        <w:gridCol w:w="1843"/>
        <w:gridCol w:w="4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01" w:type="dxa"/>
            <w:noWrap/>
            <w:vAlign w:val="center"/>
          </w:tcPr>
          <w:p>
            <w:pPr>
              <w:widowControl/>
              <w:jc w:val="center"/>
              <w:rPr>
                <w:b/>
                <w:bCs/>
                <w:sz w:val="24"/>
              </w:rPr>
            </w:pPr>
            <w:r>
              <w:rPr>
                <w:rFonts w:hint="eastAsia"/>
                <w:b/>
                <w:bCs/>
                <w:sz w:val="24"/>
              </w:rPr>
              <w:t>序号</w:t>
            </w:r>
          </w:p>
        </w:tc>
        <w:tc>
          <w:tcPr>
            <w:tcW w:w="6130" w:type="dxa"/>
            <w:noWrap/>
            <w:vAlign w:val="center"/>
          </w:tcPr>
          <w:p>
            <w:pPr>
              <w:widowControl/>
              <w:jc w:val="center"/>
              <w:rPr>
                <w:b/>
                <w:bCs/>
                <w:sz w:val="24"/>
              </w:rPr>
            </w:pPr>
            <w:r>
              <w:rPr>
                <w:rFonts w:hint="eastAsia"/>
                <w:b/>
                <w:bCs/>
                <w:sz w:val="24"/>
              </w:rPr>
              <w:t>课程主题</w:t>
            </w:r>
          </w:p>
        </w:tc>
        <w:tc>
          <w:tcPr>
            <w:tcW w:w="1843" w:type="dxa"/>
            <w:noWrap/>
            <w:vAlign w:val="center"/>
          </w:tcPr>
          <w:p>
            <w:pPr>
              <w:widowControl/>
              <w:jc w:val="center"/>
              <w:rPr>
                <w:b/>
                <w:bCs/>
                <w:sz w:val="24"/>
              </w:rPr>
            </w:pPr>
            <w:r>
              <w:rPr>
                <w:rFonts w:hint="eastAsia"/>
                <w:b/>
                <w:bCs/>
                <w:sz w:val="24"/>
              </w:rPr>
              <w:t>授课人</w:t>
            </w:r>
          </w:p>
        </w:tc>
        <w:tc>
          <w:tcPr>
            <w:tcW w:w="4484" w:type="dxa"/>
            <w:noWrap/>
            <w:vAlign w:val="center"/>
          </w:tcPr>
          <w:p>
            <w:pPr>
              <w:widowControl/>
              <w:jc w:val="center"/>
              <w:rPr>
                <w:b/>
                <w:bCs/>
                <w:sz w:val="24"/>
              </w:rPr>
            </w:pPr>
            <w:r>
              <w:rPr>
                <w:rFonts w:hint="eastAsia"/>
                <w:b/>
                <w:bCs/>
                <w:sz w:val="24"/>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301" w:type="dxa"/>
            <w:noWrap/>
            <w:vAlign w:val="center"/>
          </w:tcPr>
          <w:p>
            <w:pPr>
              <w:widowControl/>
              <w:jc w:val="center"/>
              <w:rPr>
                <w:sz w:val="24"/>
              </w:rPr>
            </w:pPr>
            <w:r>
              <w:rPr>
                <w:sz w:val="24"/>
              </w:rPr>
              <w:t>1</w:t>
            </w:r>
          </w:p>
        </w:tc>
        <w:tc>
          <w:tcPr>
            <w:tcW w:w="6130" w:type="dxa"/>
            <w:noWrap/>
            <w:vAlign w:val="center"/>
          </w:tcPr>
          <w:p>
            <w:pPr>
              <w:widowControl/>
              <w:jc w:val="left"/>
              <w:rPr>
                <w:sz w:val="24"/>
              </w:rPr>
            </w:pPr>
            <w:r>
              <w:rPr>
                <w:rFonts w:hint="eastAsia"/>
                <w:sz w:val="24"/>
              </w:rPr>
              <w:t>学生学籍管理与学业考核</w:t>
            </w:r>
          </w:p>
        </w:tc>
        <w:tc>
          <w:tcPr>
            <w:tcW w:w="1843" w:type="dxa"/>
            <w:noWrap/>
            <w:vAlign w:val="center"/>
          </w:tcPr>
          <w:p>
            <w:pPr>
              <w:widowControl/>
              <w:jc w:val="center"/>
              <w:rPr>
                <w:sz w:val="24"/>
              </w:rPr>
            </w:pPr>
            <w:r>
              <w:rPr>
                <w:rFonts w:hint="eastAsia"/>
                <w:sz w:val="24"/>
              </w:rPr>
              <w:t>崔薛腾</w:t>
            </w:r>
          </w:p>
        </w:tc>
        <w:tc>
          <w:tcPr>
            <w:tcW w:w="4484" w:type="dxa"/>
            <w:noWrap/>
            <w:vAlign w:val="center"/>
          </w:tcPr>
          <w:p>
            <w:pPr>
              <w:widowControl/>
              <w:jc w:val="left"/>
              <w:rPr>
                <w:sz w:val="24"/>
              </w:rPr>
            </w:pPr>
            <w:r>
              <w:rPr>
                <w:rFonts w:hint="eastAsia"/>
                <w:sz w:val="24"/>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 w:hRule="atLeast"/>
        </w:trPr>
        <w:tc>
          <w:tcPr>
            <w:tcW w:w="1301" w:type="dxa"/>
            <w:noWrap/>
            <w:vAlign w:val="center"/>
          </w:tcPr>
          <w:p>
            <w:pPr>
              <w:widowControl/>
              <w:jc w:val="center"/>
              <w:rPr>
                <w:sz w:val="24"/>
              </w:rPr>
            </w:pPr>
            <w:r>
              <w:rPr>
                <w:sz w:val="24"/>
              </w:rPr>
              <w:t>2</w:t>
            </w:r>
          </w:p>
        </w:tc>
        <w:tc>
          <w:tcPr>
            <w:tcW w:w="6130" w:type="dxa"/>
            <w:noWrap/>
            <w:vAlign w:val="center"/>
          </w:tcPr>
          <w:p>
            <w:pPr>
              <w:widowControl/>
              <w:jc w:val="left"/>
              <w:rPr>
                <w:sz w:val="24"/>
              </w:rPr>
            </w:pPr>
            <w:r>
              <w:rPr>
                <w:rFonts w:hint="eastAsia"/>
                <w:sz w:val="24"/>
              </w:rPr>
              <w:t>新生创新创业启蒙</w:t>
            </w:r>
          </w:p>
        </w:tc>
        <w:tc>
          <w:tcPr>
            <w:tcW w:w="1843" w:type="dxa"/>
            <w:noWrap/>
            <w:vAlign w:val="center"/>
          </w:tcPr>
          <w:p>
            <w:pPr>
              <w:widowControl/>
              <w:jc w:val="center"/>
              <w:rPr>
                <w:sz w:val="24"/>
              </w:rPr>
            </w:pPr>
            <w:r>
              <w:rPr>
                <w:rFonts w:hint="eastAsia"/>
                <w:sz w:val="24"/>
              </w:rPr>
              <w:t>刘刚</w:t>
            </w:r>
          </w:p>
        </w:tc>
        <w:tc>
          <w:tcPr>
            <w:tcW w:w="4484" w:type="dxa"/>
            <w:noWrap/>
            <w:vAlign w:val="center"/>
          </w:tcPr>
          <w:p>
            <w:pPr>
              <w:widowControl/>
              <w:jc w:val="left"/>
              <w:rPr>
                <w:sz w:val="24"/>
              </w:rPr>
            </w:pPr>
            <w:r>
              <w:rPr>
                <w:rFonts w:hint="eastAsia"/>
                <w:sz w:val="24"/>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01" w:type="dxa"/>
            <w:noWrap/>
            <w:vAlign w:val="center"/>
          </w:tcPr>
          <w:p>
            <w:pPr>
              <w:widowControl/>
              <w:jc w:val="center"/>
              <w:rPr>
                <w:sz w:val="24"/>
              </w:rPr>
            </w:pPr>
            <w:r>
              <w:rPr>
                <w:sz w:val="24"/>
              </w:rPr>
              <w:t>3</w:t>
            </w:r>
          </w:p>
        </w:tc>
        <w:tc>
          <w:tcPr>
            <w:tcW w:w="6130" w:type="dxa"/>
            <w:noWrap/>
            <w:vAlign w:val="center"/>
          </w:tcPr>
          <w:p>
            <w:pPr>
              <w:widowControl/>
              <w:jc w:val="left"/>
              <w:rPr>
                <w:sz w:val="24"/>
              </w:rPr>
            </w:pPr>
            <w:r>
              <w:rPr>
                <w:rFonts w:hint="eastAsia"/>
                <w:sz w:val="24"/>
              </w:rPr>
              <w:t>传承“团风”精神</w:t>
            </w:r>
            <w:r>
              <w:rPr>
                <w:sz w:val="24"/>
              </w:rPr>
              <w:t xml:space="preserve"> </w:t>
            </w:r>
            <w:r>
              <w:rPr>
                <w:rFonts w:hint="eastAsia"/>
                <w:sz w:val="24"/>
              </w:rPr>
              <w:t>争做时代新人</w:t>
            </w:r>
          </w:p>
        </w:tc>
        <w:tc>
          <w:tcPr>
            <w:tcW w:w="1843" w:type="dxa"/>
            <w:noWrap/>
            <w:vAlign w:val="center"/>
          </w:tcPr>
          <w:p>
            <w:pPr>
              <w:widowControl/>
              <w:jc w:val="center"/>
              <w:rPr>
                <w:sz w:val="24"/>
              </w:rPr>
            </w:pPr>
            <w:r>
              <w:rPr>
                <w:rFonts w:hint="eastAsia"/>
                <w:sz w:val="24"/>
              </w:rPr>
              <w:t>张悠然</w:t>
            </w:r>
          </w:p>
        </w:tc>
        <w:tc>
          <w:tcPr>
            <w:tcW w:w="4484" w:type="dxa"/>
            <w:noWrap/>
            <w:vAlign w:val="center"/>
          </w:tcPr>
          <w:p>
            <w:pPr>
              <w:widowControl/>
              <w:jc w:val="left"/>
              <w:rPr>
                <w:sz w:val="24"/>
              </w:rPr>
            </w:pPr>
            <w:r>
              <w:rPr>
                <w:rFonts w:hint="eastAsia"/>
                <w:sz w:val="24"/>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 w:hRule="atLeast"/>
        </w:trPr>
        <w:tc>
          <w:tcPr>
            <w:tcW w:w="1301" w:type="dxa"/>
            <w:noWrap/>
            <w:vAlign w:val="center"/>
          </w:tcPr>
          <w:p>
            <w:pPr>
              <w:widowControl/>
              <w:jc w:val="center"/>
              <w:rPr>
                <w:sz w:val="24"/>
              </w:rPr>
            </w:pPr>
            <w:r>
              <w:rPr>
                <w:sz w:val="24"/>
              </w:rPr>
              <w:t>4</w:t>
            </w:r>
          </w:p>
        </w:tc>
        <w:tc>
          <w:tcPr>
            <w:tcW w:w="6130" w:type="dxa"/>
            <w:noWrap/>
            <w:vAlign w:val="center"/>
          </w:tcPr>
          <w:p>
            <w:pPr>
              <w:widowControl/>
              <w:jc w:val="left"/>
              <w:rPr>
                <w:sz w:val="24"/>
              </w:rPr>
            </w:pPr>
            <w:r>
              <w:rPr>
                <w:rFonts w:hint="eastAsia"/>
                <w:sz w:val="24"/>
              </w:rPr>
              <w:t>从“心”开始</w:t>
            </w:r>
            <w:r>
              <w:rPr>
                <w:rFonts w:hint="eastAsia"/>
                <w:sz w:val="24"/>
                <w:lang w:eastAsia="zh-CN"/>
              </w:rPr>
              <w:t>——</w:t>
            </w:r>
            <w:r>
              <w:rPr>
                <w:rFonts w:hint="eastAsia"/>
                <w:sz w:val="24"/>
              </w:rPr>
              <w:t>大学生心理健康入学教育讲座</w:t>
            </w:r>
          </w:p>
        </w:tc>
        <w:tc>
          <w:tcPr>
            <w:tcW w:w="1843" w:type="dxa"/>
            <w:noWrap/>
            <w:vAlign w:val="center"/>
          </w:tcPr>
          <w:p>
            <w:pPr>
              <w:widowControl/>
              <w:jc w:val="center"/>
              <w:rPr>
                <w:sz w:val="24"/>
              </w:rPr>
            </w:pPr>
            <w:r>
              <w:rPr>
                <w:rFonts w:hint="eastAsia"/>
                <w:sz w:val="24"/>
              </w:rPr>
              <w:t>周婷</w:t>
            </w:r>
          </w:p>
        </w:tc>
        <w:tc>
          <w:tcPr>
            <w:tcW w:w="4484" w:type="dxa"/>
            <w:noWrap/>
            <w:vAlign w:val="center"/>
          </w:tcPr>
          <w:p>
            <w:pPr>
              <w:widowControl/>
              <w:jc w:val="left"/>
              <w:rPr>
                <w:sz w:val="24"/>
              </w:rPr>
            </w:pPr>
            <w:r>
              <w:rPr>
                <w:rFonts w:hint="eastAsia"/>
                <w:sz w:val="24"/>
              </w:rPr>
              <w:t>心理健康教育中心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01" w:type="dxa"/>
            <w:noWrap/>
            <w:vAlign w:val="center"/>
          </w:tcPr>
          <w:p>
            <w:pPr>
              <w:widowControl/>
              <w:jc w:val="center"/>
              <w:rPr>
                <w:sz w:val="24"/>
              </w:rPr>
            </w:pPr>
            <w:r>
              <w:rPr>
                <w:sz w:val="24"/>
              </w:rPr>
              <w:t>5</w:t>
            </w:r>
          </w:p>
        </w:tc>
        <w:tc>
          <w:tcPr>
            <w:tcW w:w="6130" w:type="dxa"/>
            <w:noWrap/>
            <w:vAlign w:val="center"/>
          </w:tcPr>
          <w:p>
            <w:pPr>
              <w:widowControl/>
              <w:jc w:val="left"/>
              <w:rPr>
                <w:sz w:val="24"/>
              </w:rPr>
            </w:pPr>
            <w:r>
              <w:rPr>
                <w:rFonts w:hint="eastAsia"/>
                <w:sz w:val="24"/>
              </w:rPr>
              <w:t>大学生涯早规划</w:t>
            </w:r>
          </w:p>
        </w:tc>
        <w:tc>
          <w:tcPr>
            <w:tcW w:w="1843" w:type="dxa"/>
            <w:noWrap/>
            <w:vAlign w:val="center"/>
          </w:tcPr>
          <w:p>
            <w:pPr>
              <w:widowControl/>
              <w:jc w:val="center"/>
              <w:rPr>
                <w:sz w:val="24"/>
              </w:rPr>
            </w:pPr>
            <w:r>
              <w:rPr>
                <w:rFonts w:hint="eastAsia"/>
                <w:sz w:val="24"/>
              </w:rPr>
              <w:t>毕莹</w:t>
            </w:r>
          </w:p>
        </w:tc>
        <w:tc>
          <w:tcPr>
            <w:tcW w:w="4484" w:type="dxa"/>
            <w:noWrap/>
            <w:vAlign w:val="center"/>
          </w:tcPr>
          <w:p>
            <w:pPr>
              <w:widowControl/>
              <w:jc w:val="left"/>
              <w:rPr>
                <w:sz w:val="24"/>
              </w:rPr>
            </w:pPr>
            <w:r>
              <w:rPr>
                <w:rFonts w:hint="eastAsia"/>
                <w:sz w:val="24"/>
              </w:rPr>
              <w:t>就业创业指导中心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01" w:type="dxa"/>
            <w:noWrap/>
            <w:vAlign w:val="center"/>
          </w:tcPr>
          <w:p>
            <w:pPr>
              <w:widowControl/>
              <w:jc w:val="center"/>
              <w:rPr>
                <w:sz w:val="24"/>
              </w:rPr>
            </w:pPr>
            <w:r>
              <w:rPr>
                <w:rFonts w:hint="eastAsia"/>
                <w:sz w:val="24"/>
              </w:rPr>
              <w:t>6</w:t>
            </w:r>
          </w:p>
        </w:tc>
        <w:tc>
          <w:tcPr>
            <w:tcW w:w="6130" w:type="dxa"/>
            <w:noWrap/>
            <w:vAlign w:val="center"/>
          </w:tcPr>
          <w:p>
            <w:pPr>
              <w:widowControl/>
              <w:jc w:val="left"/>
              <w:rPr>
                <w:sz w:val="24"/>
              </w:rPr>
            </w:pPr>
            <w:r>
              <w:rPr>
                <w:rFonts w:hint="eastAsia"/>
                <w:sz w:val="24"/>
              </w:rPr>
              <w:t>认识奥密克戎做好疫情防控</w:t>
            </w:r>
          </w:p>
        </w:tc>
        <w:tc>
          <w:tcPr>
            <w:tcW w:w="1843" w:type="dxa"/>
            <w:noWrap/>
            <w:vAlign w:val="center"/>
          </w:tcPr>
          <w:p>
            <w:pPr>
              <w:widowControl/>
              <w:jc w:val="center"/>
              <w:rPr>
                <w:sz w:val="24"/>
              </w:rPr>
            </w:pPr>
            <w:r>
              <w:rPr>
                <w:rFonts w:hint="eastAsia"/>
                <w:sz w:val="24"/>
              </w:rPr>
              <w:t>彭燕</w:t>
            </w:r>
          </w:p>
        </w:tc>
        <w:tc>
          <w:tcPr>
            <w:tcW w:w="4484" w:type="dxa"/>
            <w:noWrap/>
            <w:vAlign w:val="center"/>
          </w:tcPr>
          <w:p>
            <w:pPr>
              <w:widowControl/>
              <w:jc w:val="left"/>
              <w:rPr>
                <w:sz w:val="24"/>
              </w:rPr>
            </w:pPr>
            <w:r>
              <w:rPr>
                <w:rFonts w:hint="eastAsia"/>
                <w:sz w:val="24"/>
              </w:rPr>
              <w:t>校医院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 w:hRule="atLeast"/>
        </w:trPr>
        <w:tc>
          <w:tcPr>
            <w:tcW w:w="1301" w:type="dxa"/>
            <w:noWrap/>
            <w:vAlign w:val="center"/>
          </w:tcPr>
          <w:p>
            <w:pPr>
              <w:widowControl/>
              <w:jc w:val="center"/>
              <w:rPr>
                <w:sz w:val="24"/>
              </w:rPr>
            </w:pPr>
            <w:r>
              <w:rPr>
                <w:sz w:val="24"/>
              </w:rPr>
              <w:t>7</w:t>
            </w:r>
          </w:p>
        </w:tc>
        <w:tc>
          <w:tcPr>
            <w:tcW w:w="6130" w:type="dxa"/>
            <w:noWrap/>
            <w:vAlign w:val="center"/>
          </w:tcPr>
          <w:p>
            <w:pPr>
              <w:widowControl/>
              <w:jc w:val="left"/>
              <w:rPr>
                <w:sz w:val="24"/>
              </w:rPr>
            </w:pPr>
            <w:r>
              <w:rPr>
                <w:rFonts w:hint="eastAsia"/>
                <w:sz w:val="24"/>
              </w:rPr>
              <w:t>怀梦想致远方</w:t>
            </w:r>
          </w:p>
        </w:tc>
        <w:tc>
          <w:tcPr>
            <w:tcW w:w="1843" w:type="dxa"/>
            <w:noWrap/>
            <w:vAlign w:val="center"/>
          </w:tcPr>
          <w:p>
            <w:pPr>
              <w:widowControl/>
              <w:jc w:val="center"/>
              <w:rPr>
                <w:sz w:val="24"/>
              </w:rPr>
            </w:pPr>
            <w:r>
              <w:rPr>
                <w:rFonts w:hint="eastAsia"/>
                <w:sz w:val="24"/>
              </w:rPr>
              <w:t>张辛未</w:t>
            </w:r>
          </w:p>
        </w:tc>
        <w:tc>
          <w:tcPr>
            <w:tcW w:w="4484" w:type="dxa"/>
            <w:noWrap/>
            <w:vAlign w:val="center"/>
          </w:tcPr>
          <w:p>
            <w:pPr>
              <w:widowControl/>
              <w:jc w:val="left"/>
              <w:rPr>
                <w:sz w:val="24"/>
              </w:rPr>
            </w:pPr>
            <w:r>
              <w:rPr>
                <w:rFonts w:hint="eastAsia"/>
                <w:sz w:val="24"/>
              </w:rPr>
              <w:t>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01" w:type="dxa"/>
            <w:noWrap/>
            <w:vAlign w:val="center"/>
          </w:tcPr>
          <w:p>
            <w:pPr>
              <w:widowControl/>
              <w:jc w:val="center"/>
              <w:rPr>
                <w:sz w:val="24"/>
              </w:rPr>
            </w:pPr>
            <w:r>
              <w:rPr>
                <w:sz w:val="24"/>
              </w:rPr>
              <w:t>8</w:t>
            </w:r>
          </w:p>
        </w:tc>
        <w:tc>
          <w:tcPr>
            <w:tcW w:w="6130" w:type="dxa"/>
            <w:noWrap/>
            <w:vAlign w:val="center"/>
          </w:tcPr>
          <w:p>
            <w:pPr>
              <w:widowControl/>
              <w:jc w:val="left"/>
              <w:rPr>
                <w:sz w:val="24"/>
              </w:rPr>
            </w:pPr>
            <w:r>
              <w:rPr>
                <w:rFonts w:hint="eastAsia"/>
                <w:sz w:val="24"/>
              </w:rPr>
              <w:t>与爱同行 温暖你我</w:t>
            </w:r>
          </w:p>
        </w:tc>
        <w:tc>
          <w:tcPr>
            <w:tcW w:w="1843" w:type="dxa"/>
            <w:noWrap/>
            <w:vAlign w:val="center"/>
          </w:tcPr>
          <w:p>
            <w:pPr>
              <w:widowControl/>
              <w:jc w:val="center"/>
              <w:rPr>
                <w:sz w:val="24"/>
              </w:rPr>
            </w:pPr>
            <w:r>
              <w:rPr>
                <w:rFonts w:hint="eastAsia"/>
                <w:sz w:val="24"/>
              </w:rPr>
              <w:t>梁晨</w:t>
            </w:r>
          </w:p>
        </w:tc>
        <w:tc>
          <w:tcPr>
            <w:tcW w:w="4484" w:type="dxa"/>
            <w:noWrap/>
            <w:vAlign w:val="center"/>
          </w:tcPr>
          <w:p>
            <w:pPr>
              <w:widowControl/>
              <w:jc w:val="left"/>
              <w:rPr>
                <w:sz w:val="24"/>
              </w:rPr>
            </w:pPr>
            <w:r>
              <w:rPr>
                <w:rFonts w:hint="eastAsia"/>
                <w:sz w:val="24"/>
              </w:rPr>
              <w:t>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01" w:type="dxa"/>
            <w:noWrap/>
            <w:vAlign w:val="center"/>
          </w:tcPr>
          <w:p>
            <w:pPr>
              <w:widowControl/>
              <w:jc w:val="center"/>
              <w:rPr>
                <w:sz w:val="24"/>
              </w:rPr>
            </w:pPr>
            <w:r>
              <w:rPr>
                <w:sz w:val="24"/>
              </w:rPr>
              <w:t>9</w:t>
            </w:r>
          </w:p>
        </w:tc>
        <w:tc>
          <w:tcPr>
            <w:tcW w:w="6130" w:type="dxa"/>
            <w:noWrap/>
            <w:vAlign w:val="center"/>
          </w:tcPr>
          <w:p>
            <w:pPr>
              <w:widowControl/>
              <w:jc w:val="left"/>
              <w:rPr>
                <w:sz w:val="24"/>
              </w:rPr>
            </w:pPr>
            <w:r>
              <w:rPr>
                <w:rFonts w:hint="eastAsia"/>
                <w:sz w:val="24"/>
              </w:rPr>
              <w:t>学生管理</w:t>
            </w:r>
          </w:p>
        </w:tc>
        <w:tc>
          <w:tcPr>
            <w:tcW w:w="1843" w:type="dxa"/>
            <w:noWrap/>
            <w:vAlign w:val="center"/>
          </w:tcPr>
          <w:p>
            <w:pPr>
              <w:widowControl/>
              <w:jc w:val="center"/>
              <w:rPr>
                <w:sz w:val="24"/>
              </w:rPr>
            </w:pPr>
            <w:r>
              <w:rPr>
                <w:rFonts w:hint="eastAsia"/>
                <w:sz w:val="24"/>
              </w:rPr>
              <w:t>杨莱</w:t>
            </w:r>
          </w:p>
        </w:tc>
        <w:tc>
          <w:tcPr>
            <w:tcW w:w="4484" w:type="dxa"/>
            <w:noWrap/>
            <w:vAlign w:val="center"/>
          </w:tcPr>
          <w:p>
            <w:pPr>
              <w:widowControl/>
              <w:rPr>
                <w:sz w:val="24"/>
              </w:rPr>
            </w:pPr>
            <w:r>
              <w:rPr>
                <w:rFonts w:hint="eastAsia"/>
                <w:sz w:val="24"/>
              </w:rPr>
              <w:t>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01" w:type="dxa"/>
            <w:noWrap/>
            <w:vAlign w:val="center"/>
          </w:tcPr>
          <w:p>
            <w:pPr>
              <w:widowControl/>
              <w:jc w:val="center"/>
              <w:rPr>
                <w:sz w:val="24"/>
              </w:rPr>
            </w:pPr>
            <w:r>
              <w:rPr>
                <w:sz w:val="24"/>
              </w:rPr>
              <w:t>10</w:t>
            </w:r>
          </w:p>
        </w:tc>
        <w:tc>
          <w:tcPr>
            <w:tcW w:w="6130" w:type="dxa"/>
            <w:noWrap/>
            <w:vAlign w:val="center"/>
          </w:tcPr>
          <w:p>
            <w:pPr>
              <w:widowControl/>
              <w:jc w:val="left"/>
              <w:rPr>
                <w:sz w:val="24"/>
              </w:rPr>
            </w:pPr>
            <w:r>
              <w:rPr>
                <w:rFonts w:hint="eastAsia"/>
                <w:sz w:val="24"/>
              </w:rPr>
              <w:t>大学生国防教育知识讲座</w:t>
            </w:r>
          </w:p>
        </w:tc>
        <w:tc>
          <w:tcPr>
            <w:tcW w:w="1843" w:type="dxa"/>
            <w:noWrap/>
            <w:vAlign w:val="center"/>
          </w:tcPr>
          <w:p>
            <w:pPr>
              <w:widowControl/>
              <w:jc w:val="center"/>
              <w:rPr>
                <w:sz w:val="24"/>
              </w:rPr>
            </w:pPr>
            <w:r>
              <w:rPr>
                <w:rFonts w:hint="eastAsia"/>
                <w:sz w:val="24"/>
              </w:rPr>
              <w:t>刘磊</w:t>
            </w:r>
          </w:p>
        </w:tc>
        <w:tc>
          <w:tcPr>
            <w:tcW w:w="4484" w:type="dxa"/>
            <w:noWrap/>
            <w:vAlign w:val="center"/>
          </w:tcPr>
          <w:p>
            <w:pPr>
              <w:widowControl/>
              <w:jc w:val="left"/>
              <w:rPr>
                <w:sz w:val="24"/>
              </w:rPr>
            </w:pPr>
            <w:r>
              <w:rPr>
                <w:rFonts w:hint="eastAsia"/>
                <w:sz w:val="24"/>
              </w:rPr>
              <w:t>学生工作部（处）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01" w:type="dxa"/>
            <w:noWrap/>
            <w:vAlign w:val="center"/>
          </w:tcPr>
          <w:p>
            <w:pPr>
              <w:widowControl/>
              <w:jc w:val="center"/>
              <w:rPr>
                <w:sz w:val="24"/>
              </w:rPr>
            </w:pPr>
            <w:r>
              <w:rPr>
                <w:sz w:val="24"/>
              </w:rPr>
              <w:t>11</w:t>
            </w:r>
          </w:p>
        </w:tc>
        <w:tc>
          <w:tcPr>
            <w:tcW w:w="6130" w:type="dxa"/>
            <w:noWrap/>
            <w:vAlign w:val="center"/>
          </w:tcPr>
          <w:p>
            <w:pPr>
              <w:widowControl/>
              <w:jc w:val="left"/>
              <w:rPr>
                <w:sz w:val="24"/>
              </w:rPr>
            </w:pPr>
            <w:r>
              <w:rPr>
                <w:rFonts w:hint="eastAsia"/>
                <w:sz w:val="24"/>
              </w:rPr>
              <w:t>逐梦远航，过充实的寝室生活</w:t>
            </w:r>
          </w:p>
        </w:tc>
        <w:tc>
          <w:tcPr>
            <w:tcW w:w="1843" w:type="dxa"/>
            <w:noWrap/>
            <w:vAlign w:val="center"/>
          </w:tcPr>
          <w:p>
            <w:pPr>
              <w:widowControl/>
              <w:jc w:val="center"/>
              <w:rPr>
                <w:sz w:val="24"/>
              </w:rPr>
            </w:pPr>
            <w:r>
              <w:rPr>
                <w:rFonts w:hint="eastAsia"/>
                <w:sz w:val="24"/>
              </w:rPr>
              <w:t>李伟东</w:t>
            </w:r>
          </w:p>
        </w:tc>
        <w:tc>
          <w:tcPr>
            <w:tcW w:w="4484" w:type="dxa"/>
            <w:noWrap/>
            <w:vAlign w:val="center"/>
          </w:tcPr>
          <w:p>
            <w:pPr>
              <w:widowControl/>
              <w:jc w:val="left"/>
              <w:rPr>
                <w:sz w:val="24"/>
              </w:rPr>
            </w:pPr>
            <w:r>
              <w:rPr>
                <w:rFonts w:hint="eastAsia"/>
                <w:sz w:val="24"/>
              </w:rPr>
              <w:t>学生工作部（处）</w:t>
            </w:r>
          </w:p>
        </w:tc>
      </w:tr>
    </w:tbl>
    <w:p>
      <w:pPr>
        <w:widowControl/>
        <w:jc w:val="left"/>
        <w:rPr>
          <w:b/>
        </w:rPr>
        <w:sectPr>
          <w:pgSz w:w="16838" w:h="11906" w:orient="landscape"/>
          <w:pgMar w:top="1800" w:right="1440" w:bottom="1800" w:left="1440" w:header="851" w:footer="992" w:gutter="0"/>
          <w:cols w:space="425" w:num="1"/>
          <w:docGrid w:type="lines" w:linePitch="312" w:charSpace="0"/>
        </w:sectPr>
      </w:pPr>
    </w:p>
    <w:p>
      <w:pPr>
        <w:spacing w:line="520" w:lineRule="exact"/>
        <w:rPr>
          <w:rFonts w:ascii="仿宋_GB2312" w:eastAsia="仿宋_GB2312"/>
          <w:sz w:val="32"/>
          <w:szCs w:val="32"/>
        </w:rPr>
      </w:pPr>
      <w:r>
        <w:rPr>
          <w:rFonts w:hint="eastAsia" w:ascii="仿宋_GB2312" w:eastAsia="仿宋_GB2312"/>
          <w:sz w:val="32"/>
          <w:szCs w:val="32"/>
        </w:rPr>
        <w:t>附件3</w:t>
      </w:r>
    </w:p>
    <w:p>
      <w:pPr>
        <w:spacing w:line="520" w:lineRule="exact"/>
        <w:jc w:val="center"/>
        <w:rPr>
          <w:rFonts w:ascii="宋体" w:hAnsi="宋体"/>
          <w:b/>
          <w:bCs/>
          <w:sz w:val="36"/>
          <w:szCs w:val="36"/>
        </w:rPr>
      </w:pPr>
      <w:r>
        <w:rPr>
          <w:rFonts w:hint="eastAsia" w:ascii="宋体" w:hAnsi="宋体"/>
          <w:b/>
          <w:bCs/>
          <w:sz w:val="36"/>
          <w:szCs w:val="36"/>
        </w:rPr>
        <w:t>关于线上直播观看</w:t>
      </w:r>
    </w:p>
    <w:p>
      <w:pPr>
        <w:spacing w:line="520" w:lineRule="exact"/>
        <w:jc w:val="center"/>
        <w:rPr>
          <w:rFonts w:ascii="宋体" w:hAnsi="宋体"/>
          <w:b/>
          <w:bCs/>
          <w:sz w:val="36"/>
          <w:szCs w:val="36"/>
        </w:rPr>
      </w:pPr>
      <w:r>
        <w:rPr>
          <w:rFonts w:hint="eastAsia" w:ascii="宋体" w:hAnsi="宋体"/>
          <w:b/>
          <w:bCs/>
          <w:sz w:val="36"/>
          <w:szCs w:val="36"/>
        </w:rPr>
        <w:t>《吉林省高校大学生生涯教育第一课》的通知</w:t>
      </w:r>
    </w:p>
    <w:p>
      <w:pPr>
        <w:spacing w:line="520" w:lineRule="exact"/>
        <w:jc w:val="center"/>
        <w:rPr>
          <w:rFonts w:ascii="宋体" w:hAnsi="宋体"/>
          <w:sz w:val="36"/>
          <w:szCs w:val="36"/>
        </w:rPr>
      </w:pPr>
    </w:p>
    <w:p>
      <w:pPr>
        <w:spacing w:line="420" w:lineRule="exact"/>
        <w:ind w:firstLine="640" w:firstLineChars="200"/>
        <w:rPr>
          <w:rFonts w:ascii="仿宋_GB2312" w:eastAsia="仿宋_GB2312"/>
          <w:sz w:val="32"/>
          <w:szCs w:val="32"/>
        </w:rPr>
      </w:pPr>
      <w:r>
        <w:rPr>
          <w:rFonts w:hint="eastAsia" w:ascii="仿宋_GB2312" w:eastAsia="仿宋_GB2312"/>
          <w:sz w:val="32"/>
          <w:szCs w:val="32"/>
        </w:rPr>
        <w:t>为贯彻落实《国务院办公厅关于进一步做好高校毕业生等青 年就业创业工作的通知》精神，健全高校学生生涯规划与就业指导体系，引导学生树立正确的职业观、就业观和择业观，省高校毕业生就业指导中开展吉林省高校大学生生涯教育第一课。各学院认真组织学生观看线上网络直播课程，具体事宜通知如下：</w:t>
      </w:r>
    </w:p>
    <w:p>
      <w:pPr>
        <w:spacing w:line="420" w:lineRule="exact"/>
        <w:ind w:firstLine="640" w:firstLineChars="200"/>
        <w:rPr>
          <w:rFonts w:ascii="仿宋_GB2312" w:eastAsia="仿宋_GB2312"/>
          <w:b/>
          <w:bCs/>
          <w:sz w:val="32"/>
          <w:szCs w:val="32"/>
        </w:rPr>
      </w:pPr>
      <w:r>
        <w:rPr>
          <w:rFonts w:hint="eastAsia" w:ascii="仿宋_GB2312" w:eastAsia="仿宋_GB2312"/>
          <w:b/>
          <w:bCs/>
          <w:sz w:val="32"/>
          <w:szCs w:val="32"/>
        </w:rPr>
        <w:t>一、课程时间</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9 月 8 日上午9: 00-11: 00</w:t>
      </w:r>
    </w:p>
    <w:p>
      <w:pPr>
        <w:spacing w:line="420" w:lineRule="exact"/>
        <w:ind w:firstLine="640" w:firstLineChars="200"/>
        <w:rPr>
          <w:rFonts w:ascii="仿宋_GB2312" w:eastAsia="仿宋_GB2312"/>
          <w:b/>
          <w:bCs/>
          <w:sz w:val="32"/>
          <w:szCs w:val="32"/>
        </w:rPr>
      </w:pPr>
      <w:r>
        <w:rPr>
          <w:rFonts w:hint="eastAsia" w:ascii="仿宋_GB2312" w:eastAsia="仿宋_GB2312"/>
          <w:b/>
          <w:bCs/>
          <w:sz w:val="32"/>
          <w:szCs w:val="32"/>
        </w:rPr>
        <w:t>二、课程形式</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线上直播教学。</w:t>
      </w:r>
    </w:p>
    <w:p>
      <w:pPr>
        <w:numPr>
          <w:ilvl w:val="0"/>
          <w:numId w:val="3"/>
        </w:numPr>
        <w:spacing w:line="420" w:lineRule="exact"/>
        <w:ind w:firstLine="640" w:firstLineChars="200"/>
        <w:rPr>
          <w:rFonts w:ascii="仿宋_GB2312" w:eastAsia="仿宋_GB2312"/>
          <w:b/>
          <w:bCs/>
          <w:sz w:val="32"/>
          <w:szCs w:val="32"/>
        </w:rPr>
      </w:pPr>
      <w:r>
        <w:rPr>
          <w:rFonts w:hint="eastAsia" w:ascii="仿宋_GB2312" w:eastAsia="仿宋_GB2312"/>
          <w:b/>
          <w:bCs/>
          <w:sz w:val="32"/>
          <w:szCs w:val="32"/>
        </w:rPr>
        <w:t>参加人员</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全体在校学生</w:t>
      </w:r>
    </w:p>
    <w:p>
      <w:pPr>
        <w:spacing w:line="420" w:lineRule="exact"/>
        <w:ind w:firstLine="640" w:firstLineChars="200"/>
        <w:rPr>
          <w:rFonts w:ascii="仿宋_GB2312" w:eastAsia="仿宋_GB2312"/>
          <w:b/>
          <w:bCs/>
          <w:sz w:val="32"/>
          <w:szCs w:val="32"/>
        </w:rPr>
      </w:pPr>
      <w:r>
        <w:rPr>
          <w:rFonts w:hint="eastAsia" w:ascii="仿宋_GB2312" w:eastAsia="仿宋_GB2312"/>
          <w:b/>
          <w:bCs/>
          <w:sz w:val="32"/>
          <w:szCs w:val="32"/>
        </w:rPr>
        <w:t>四、参加人员</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全省高校大一新生及职业生涯教育教师。</w:t>
      </w:r>
    </w:p>
    <w:p>
      <w:pPr>
        <w:spacing w:line="420" w:lineRule="exact"/>
        <w:ind w:firstLine="640" w:firstLineChars="200"/>
        <w:rPr>
          <w:rFonts w:ascii="仿宋_GB2312" w:eastAsia="仿宋_GB2312"/>
          <w:b/>
          <w:bCs/>
          <w:sz w:val="32"/>
          <w:szCs w:val="32"/>
        </w:rPr>
      </w:pPr>
      <w:r>
        <w:rPr>
          <w:rFonts w:hint="eastAsia" w:ascii="仿宋_GB2312" w:eastAsia="仿宋_GB2312"/>
          <w:b/>
          <w:bCs/>
          <w:sz w:val="32"/>
          <w:szCs w:val="32"/>
        </w:rPr>
        <w:t>五、观看方式</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请按时扫描下方二维码进入“慧就业”平台上线听课</w:t>
      </w:r>
    </w:p>
    <w:p>
      <w:pPr>
        <w:spacing w:line="3610" w:lineRule="exact"/>
        <w:ind w:firstLine="2555"/>
        <w:textAlignment w:val="center"/>
      </w:pPr>
      <w:r>
        <w:drawing>
          <wp:inline distT="0" distB="0" distL="0" distR="0">
            <wp:extent cx="1885950" cy="201930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5"/>
                    <a:stretch>
                      <a:fillRect/>
                    </a:stretch>
                  </pic:blipFill>
                  <pic:spPr>
                    <a:xfrm>
                      <a:off x="0" y="0"/>
                      <a:ext cx="1886455" cy="2019841"/>
                    </a:xfrm>
                    <a:prstGeom prst="rect">
                      <a:avLst/>
                    </a:prstGeom>
                  </pic:spPr>
                </pic:pic>
              </a:graphicData>
            </a:graphic>
          </wp:inline>
        </w:drawing>
      </w:r>
    </w:p>
    <w:p>
      <w:pPr>
        <w:spacing w:before="240" w:line="241" w:lineRule="auto"/>
        <w:ind w:firstLine="584" w:firstLineChars="200"/>
        <w:rPr>
          <w:rFonts w:ascii="仿宋_GB2312" w:eastAsia="仿宋"/>
          <w:sz w:val="32"/>
          <w:szCs w:val="32"/>
        </w:rPr>
      </w:pPr>
      <w:r>
        <w:rPr>
          <w:rFonts w:ascii="仿宋" w:hAnsi="仿宋" w:eastAsia="仿宋" w:cs="仿宋"/>
          <w:spacing w:val="-14"/>
          <w:sz w:val="32"/>
          <w:szCs w:val="32"/>
        </w:rPr>
        <w:t>联系人：</w:t>
      </w:r>
      <w:r>
        <w:rPr>
          <w:rFonts w:hint="eastAsia" w:ascii="仿宋" w:hAnsi="仿宋" w:eastAsia="仿宋" w:cs="仿宋"/>
          <w:spacing w:val="-14"/>
          <w:sz w:val="32"/>
          <w:szCs w:val="32"/>
        </w:rPr>
        <w:t xml:space="preserve">毕莹       </w:t>
      </w:r>
      <w:r>
        <w:rPr>
          <w:rFonts w:ascii="仿宋" w:hAnsi="仿宋" w:eastAsia="仿宋" w:cs="仿宋"/>
          <w:spacing w:val="-14"/>
          <w:sz w:val="32"/>
          <w:szCs w:val="32"/>
        </w:rPr>
        <w:t>电话：</w:t>
      </w:r>
      <w:r>
        <w:rPr>
          <w:rFonts w:hint="eastAsia" w:ascii="仿宋" w:hAnsi="仿宋" w:eastAsia="仿宋" w:cs="仿宋"/>
          <w:spacing w:val="-14"/>
          <w:sz w:val="32"/>
          <w:szCs w:val="32"/>
        </w:rPr>
        <w:t>18704488886</w:t>
      </w:r>
    </w:p>
    <w:p/>
    <w:p>
      <w:pPr>
        <w:widowControl/>
        <w:jc w:val="left"/>
        <w:rPr>
          <w:b/>
        </w:rPr>
      </w:pPr>
    </w:p>
    <w:p>
      <w:pPr>
        <w:widowControl/>
        <w:jc w:val="left"/>
        <w:rPr>
          <w:b/>
        </w:rPr>
        <w:sectPr>
          <w:pgSz w:w="11906" w:h="16838"/>
          <w:pgMar w:top="1440" w:right="1797" w:bottom="1440" w:left="1797" w:header="851" w:footer="992" w:gutter="0"/>
          <w:cols w:space="425" w:num="1"/>
          <w:docGrid w:type="linesAndChars" w:linePitch="312" w:charSpace="0"/>
        </w:sectPr>
      </w:pPr>
    </w:p>
    <w:p>
      <w:pPr>
        <w:jc w:val="left"/>
        <w:rPr>
          <w:rFonts w:ascii="仿宋" w:hAnsi="仿宋" w:eastAsia="仿宋" w:cs="仿宋"/>
          <w:sz w:val="32"/>
          <w:szCs w:val="32"/>
        </w:rPr>
      </w:pPr>
      <w:r>
        <w:rPr>
          <w:rFonts w:hint="eastAsia" w:ascii="仿宋" w:hAnsi="仿宋" w:eastAsia="仿宋" w:cs="仿宋"/>
          <w:sz w:val="32"/>
          <w:szCs w:val="32"/>
        </w:rPr>
        <w:t>附件4</w:t>
      </w:r>
    </w:p>
    <w:p>
      <w:pPr>
        <w:jc w:val="center"/>
        <w:rPr>
          <w:rFonts w:ascii="宋体" w:hAnsi="宋体"/>
          <w:b/>
          <w:sz w:val="36"/>
          <w:szCs w:val="36"/>
        </w:rPr>
      </w:pPr>
      <w:r>
        <w:rPr>
          <w:rFonts w:hint="eastAsia" w:ascii="宋体" w:hAnsi="宋体"/>
          <w:b/>
          <w:sz w:val="36"/>
          <w:szCs w:val="36"/>
        </w:rPr>
        <w:t>20</w:t>
      </w:r>
      <w:r>
        <w:rPr>
          <w:rFonts w:ascii="宋体" w:hAnsi="宋体"/>
          <w:b/>
          <w:sz w:val="36"/>
          <w:szCs w:val="36"/>
        </w:rPr>
        <w:t>2</w:t>
      </w:r>
      <w:r>
        <w:rPr>
          <w:rFonts w:hint="eastAsia" w:ascii="宋体" w:hAnsi="宋体"/>
          <w:b/>
          <w:sz w:val="36"/>
          <w:szCs w:val="36"/>
        </w:rPr>
        <w:t>2级学生入学教育院级层面日程安排表</w:t>
      </w:r>
    </w:p>
    <w:p>
      <w:pPr>
        <w:jc w:val="left"/>
        <w:rPr>
          <w:rFonts w:ascii="宋体" w:hAnsi="宋体"/>
          <w:b/>
          <w:sz w:val="24"/>
          <w:szCs w:val="36"/>
        </w:rPr>
      </w:pPr>
      <w:r>
        <w:rPr>
          <w:rFonts w:hint="eastAsia" w:ascii="宋体" w:hAnsi="宋体"/>
          <w:b/>
          <w:sz w:val="24"/>
          <w:szCs w:val="36"/>
        </w:rPr>
        <w:t xml:space="preserve">学院（盖章）： </w:t>
      </w:r>
      <w:r>
        <w:rPr>
          <w:rFonts w:ascii="宋体" w:hAnsi="宋体"/>
          <w:b/>
          <w:sz w:val="24"/>
          <w:szCs w:val="36"/>
        </w:rPr>
        <w:t xml:space="preserve">                                                                                </w:t>
      </w:r>
      <w:r>
        <w:rPr>
          <w:rFonts w:hint="eastAsia" w:ascii="宋体" w:hAnsi="宋体"/>
          <w:b/>
          <w:sz w:val="24"/>
          <w:szCs w:val="36"/>
        </w:rPr>
        <w:t xml:space="preserve">年 </w:t>
      </w:r>
      <w:r>
        <w:rPr>
          <w:rFonts w:ascii="宋体" w:hAnsi="宋体"/>
          <w:b/>
          <w:sz w:val="24"/>
          <w:szCs w:val="36"/>
        </w:rPr>
        <w:t xml:space="preserve">   </w:t>
      </w:r>
      <w:r>
        <w:rPr>
          <w:rFonts w:hint="eastAsia" w:ascii="宋体" w:hAnsi="宋体"/>
          <w:b/>
          <w:sz w:val="24"/>
          <w:szCs w:val="36"/>
        </w:rPr>
        <w:t xml:space="preserve">月 </w:t>
      </w:r>
      <w:r>
        <w:rPr>
          <w:rFonts w:ascii="宋体" w:hAnsi="宋体"/>
          <w:b/>
          <w:sz w:val="24"/>
          <w:szCs w:val="36"/>
        </w:rPr>
        <w:t xml:space="preserve">   </w:t>
      </w:r>
      <w:r>
        <w:rPr>
          <w:rFonts w:hint="eastAsia" w:ascii="宋体" w:hAnsi="宋体"/>
          <w:b/>
          <w:sz w:val="24"/>
          <w:szCs w:val="36"/>
        </w:rPr>
        <w:t>日</w:t>
      </w:r>
    </w:p>
    <w:tbl>
      <w:tblPr>
        <w:tblStyle w:val="6"/>
        <w:tblW w:w="14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06"/>
        <w:gridCol w:w="2129"/>
        <w:gridCol w:w="7240"/>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668" w:type="dxa"/>
            <w:vAlign w:val="center"/>
          </w:tcPr>
          <w:p>
            <w:pPr>
              <w:jc w:val="center"/>
              <w:rPr>
                <w:rFonts w:ascii="仿宋" w:hAnsi="仿宋" w:eastAsia="仿宋"/>
                <w:b/>
                <w:sz w:val="24"/>
              </w:rPr>
            </w:pPr>
            <w:r>
              <w:rPr>
                <w:rFonts w:hint="eastAsia" w:ascii="仿宋" w:hAnsi="仿宋" w:eastAsia="仿宋"/>
                <w:b/>
                <w:sz w:val="24"/>
              </w:rPr>
              <w:t>时间</w:t>
            </w:r>
          </w:p>
        </w:tc>
        <w:tc>
          <w:tcPr>
            <w:tcW w:w="1706" w:type="dxa"/>
            <w:vAlign w:val="center"/>
          </w:tcPr>
          <w:p>
            <w:pPr>
              <w:jc w:val="center"/>
              <w:rPr>
                <w:rFonts w:ascii="仿宋" w:hAnsi="仿宋" w:eastAsia="仿宋"/>
                <w:b/>
                <w:sz w:val="24"/>
              </w:rPr>
            </w:pPr>
            <w:r>
              <w:rPr>
                <w:rFonts w:hint="eastAsia" w:ascii="仿宋" w:hAnsi="仿宋" w:eastAsia="仿宋"/>
                <w:b/>
                <w:sz w:val="24"/>
              </w:rPr>
              <w:t>活动主题</w:t>
            </w:r>
          </w:p>
        </w:tc>
        <w:tc>
          <w:tcPr>
            <w:tcW w:w="2129" w:type="dxa"/>
            <w:vAlign w:val="center"/>
          </w:tcPr>
          <w:p>
            <w:pPr>
              <w:jc w:val="center"/>
              <w:rPr>
                <w:rFonts w:ascii="仿宋" w:hAnsi="仿宋" w:eastAsia="仿宋"/>
                <w:b/>
                <w:sz w:val="24"/>
              </w:rPr>
            </w:pPr>
            <w:r>
              <w:rPr>
                <w:rFonts w:hint="eastAsia" w:ascii="仿宋" w:hAnsi="仿宋" w:eastAsia="仿宋"/>
                <w:b/>
                <w:sz w:val="24"/>
              </w:rPr>
              <w:t>活动内容</w:t>
            </w:r>
          </w:p>
        </w:tc>
        <w:tc>
          <w:tcPr>
            <w:tcW w:w="7240" w:type="dxa"/>
            <w:vAlign w:val="center"/>
          </w:tcPr>
          <w:p>
            <w:pPr>
              <w:jc w:val="center"/>
              <w:rPr>
                <w:rFonts w:ascii="仿宋" w:hAnsi="仿宋" w:eastAsia="仿宋"/>
                <w:b/>
                <w:sz w:val="24"/>
              </w:rPr>
            </w:pPr>
            <w:r>
              <w:rPr>
                <w:rFonts w:hint="eastAsia" w:ascii="仿宋" w:hAnsi="仿宋" w:eastAsia="仿宋"/>
                <w:b/>
                <w:sz w:val="24"/>
              </w:rPr>
              <w:t>活动形式</w:t>
            </w:r>
          </w:p>
        </w:tc>
        <w:tc>
          <w:tcPr>
            <w:tcW w:w="1452" w:type="dxa"/>
            <w:vAlign w:val="center"/>
          </w:tcPr>
          <w:p>
            <w:pPr>
              <w:jc w:val="center"/>
              <w:rPr>
                <w:rFonts w:ascii="仿宋" w:hAnsi="仿宋" w:eastAsia="仿宋"/>
                <w:b/>
                <w:sz w:val="24"/>
              </w:rPr>
            </w:pPr>
            <w:r>
              <w:rPr>
                <w:rFonts w:hint="eastAsia" w:ascii="仿宋" w:hAnsi="仿宋" w:eastAsia="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668" w:type="dxa"/>
          </w:tcPr>
          <w:p>
            <w:pPr>
              <w:jc w:val="center"/>
              <w:rPr>
                <w:rFonts w:ascii="仿宋" w:hAnsi="仿宋" w:eastAsia="仿宋"/>
                <w:sz w:val="24"/>
              </w:rPr>
            </w:pPr>
          </w:p>
        </w:tc>
        <w:tc>
          <w:tcPr>
            <w:tcW w:w="1706" w:type="dxa"/>
          </w:tcPr>
          <w:p>
            <w:pPr>
              <w:jc w:val="center"/>
              <w:rPr>
                <w:rFonts w:ascii="仿宋" w:hAnsi="仿宋" w:eastAsia="仿宋"/>
                <w:sz w:val="24"/>
              </w:rPr>
            </w:pPr>
          </w:p>
        </w:tc>
        <w:tc>
          <w:tcPr>
            <w:tcW w:w="2129" w:type="dxa"/>
          </w:tcPr>
          <w:p>
            <w:pPr>
              <w:jc w:val="center"/>
              <w:rPr>
                <w:rFonts w:ascii="仿宋" w:hAnsi="仿宋" w:eastAsia="仿宋"/>
                <w:sz w:val="24"/>
              </w:rPr>
            </w:pPr>
          </w:p>
        </w:tc>
        <w:tc>
          <w:tcPr>
            <w:tcW w:w="7240" w:type="dxa"/>
          </w:tcPr>
          <w:p>
            <w:pPr>
              <w:rPr>
                <w:rFonts w:ascii="仿宋" w:hAnsi="仿宋" w:eastAsia="仿宋"/>
                <w:sz w:val="24"/>
              </w:rPr>
            </w:pPr>
          </w:p>
        </w:tc>
        <w:tc>
          <w:tcPr>
            <w:tcW w:w="1452"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668" w:type="dxa"/>
          </w:tcPr>
          <w:p>
            <w:pPr>
              <w:jc w:val="center"/>
              <w:rPr>
                <w:rFonts w:ascii="仿宋" w:hAnsi="仿宋" w:eastAsia="仿宋"/>
                <w:sz w:val="24"/>
              </w:rPr>
            </w:pPr>
          </w:p>
        </w:tc>
        <w:tc>
          <w:tcPr>
            <w:tcW w:w="1706" w:type="dxa"/>
          </w:tcPr>
          <w:p>
            <w:pPr>
              <w:jc w:val="center"/>
              <w:rPr>
                <w:rFonts w:ascii="仿宋" w:hAnsi="仿宋" w:eastAsia="仿宋"/>
                <w:sz w:val="24"/>
              </w:rPr>
            </w:pPr>
          </w:p>
        </w:tc>
        <w:tc>
          <w:tcPr>
            <w:tcW w:w="2129" w:type="dxa"/>
          </w:tcPr>
          <w:p>
            <w:pPr>
              <w:jc w:val="center"/>
              <w:rPr>
                <w:rFonts w:ascii="仿宋" w:hAnsi="仿宋" w:eastAsia="仿宋"/>
                <w:sz w:val="24"/>
              </w:rPr>
            </w:pPr>
          </w:p>
        </w:tc>
        <w:tc>
          <w:tcPr>
            <w:tcW w:w="7240" w:type="dxa"/>
          </w:tcPr>
          <w:p>
            <w:pPr>
              <w:jc w:val="left"/>
              <w:rPr>
                <w:rFonts w:ascii="仿宋" w:hAnsi="仿宋" w:eastAsia="仿宋"/>
                <w:sz w:val="24"/>
              </w:rPr>
            </w:pPr>
          </w:p>
        </w:tc>
        <w:tc>
          <w:tcPr>
            <w:tcW w:w="1452"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668" w:type="dxa"/>
          </w:tcPr>
          <w:p>
            <w:pPr>
              <w:jc w:val="center"/>
              <w:rPr>
                <w:rFonts w:ascii="仿宋" w:hAnsi="仿宋" w:eastAsia="仿宋"/>
                <w:sz w:val="24"/>
              </w:rPr>
            </w:pPr>
          </w:p>
        </w:tc>
        <w:tc>
          <w:tcPr>
            <w:tcW w:w="1706" w:type="dxa"/>
          </w:tcPr>
          <w:p>
            <w:pPr>
              <w:jc w:val="center"/>
              <w:rPr>
                <w:rFonts w:ascii="仿宋" w:hAnsi="仿宋" w:eastAsia="仿宋"/>
                <w:sz w:val="24"/>
              </w:rPr>
            </w:pPr>
          </w:p>
        </w:tc>
        <w:tc>
          <w:tcPr>
            <w:tcW w:w="2129" w:type="dxa"/>
          </w:tcPr>
          <w:p>
            <w:pPr>
              <w:jc w:val="center"/>
              <w:rPr>
                <w:rFonts w:ascii="仿宋" w:hAnsi="仿宋" w:eastAsia="仿宋"/>
                <w:sz w:val="24"/>
              </w:rPr>
            </w:pPr>
          </w:p>
        </w:tc>
        <w:tc>
          <w:tcPr>
            <w:tcW w:w="7240" w:type="dxa"/>
          </w:tcPr>
          <w:p>
            <w:pPr>
              <w:jc w:val="left"/>
              <w:rPr>
                <w:rFonts w:ascii="仿宋" w:hAnsi="仿宋" w:eastAsia="仿宋"/>
                <w:sz w:val="24"/>
              </w:rPr>
            </w:pPr>
          </w:p>
        </w:tc>
        <w:tc>
          <w:tcPr>
            <w:tcW w:w="1452"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668" w:type="dxa"/>
          </w:tcPr>
          <w:p>
            <w:pPr>
              <w:jc w:val="center"/>
              <w:rPr>
                <w:rFonts w:ascii="仿宋" w:hAnsi="仿宋" w:eastAsia="仿宋"/>
                <w:sz w:val="24"/>
              </w:rPr>
            </w:pPr>
          </w:p>
        </w:tc>
        <w:tc>
          <w:tcPr>
            <w:tcW w:w="1706" w:type="dxa"/>
          </w:tcPr>
          <w:p>
            <w:pPr>
              <w:jc w:val="center"/>
              <w:rPr>
                <w:rFonts w:ascii="仿宋" w:hAnsi="仿宋" w:eastAsia="仿宋"/>
                <w:sz w:val="24"/>
              </w:rPr>
            </w:pPr>
          </w:p>
        </w:tc>
        <w:tc>
          <w:tcPr>
            <w:tcW w:w="2129" w:type="dxa"/>
          </w:tcPr>
          <w:p>
            <w:pPr>
              <w:jc w:val="center"/>
              <w:rPr>
                <w:rFonts w:ascii="仿宋" w:hAnsi="仿宋" w:eastAsia="仿宋"/>
                <w:sz w:val="24"/>
              </w:rPr>
            </w:pPr>
          </w:p>
        </w:tc>
        <w:tc>
          <w:tcPr>
            <w:tcW w:w="7240" w:type="dxa"/>
          </w:tcPr>
          <w:p>
            <w:pPr>
              <w:rPr>
                <w:rFonts w:ascii="仿宋" w:hAnsi="仿宋" w:eastAsia="仿宋"/>
                <w:sz w:val="24"/>
              </w:rPr>
            </w:pPr>
          </w:p>
        </w:tc>
        <w:tc>
          <w:tcPr>
            <w:tcW w:w="1452"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668" w:type="dxa"/>
          </w:tcPr>
          <w:p>
            <w:pPr>
              <w:jc w:val="center"/>
              <w:rPr>
                <w:rFonts w:ascii="仿宋" w:hAnsi="仿宋" w:eastAsia="仿宋"/>
                <w:sz w:val="24"/>
              </w:rPr>
            </w:pPr>
          </w:p>
        </w:tc>
        <w:tc>
          <w:tcPr>
            <w:tcW w:w="1706" w:type="dxa"/>
          </w:tcPr>
          <w:p>
            <w:pPr>
              <w:jc w:val="center"/>
              <w:rPr>
                <w:rFonts w:ascii="仿宋" w:hAnsi="仿宋" w:eastAsia="仿宋"/>
                <w:sz w:val="24"/>
              </w:rPr>
            </w:pPr>
          </w:p>
        </w:tc>
        <w:tc>
          <w:tcPr>
            <w:tcW w:w="2129" w:type="dxa"/>
          </w:tcPr>
          <w:p>
            <w:pPr>
              <w:jc w:val="center"/>
              <w:rPr>
                <w:rFonts w:ascii="仿宋" w:hAnsi="仿宋" w:eastAsia="仿宋"/>
                <w:sz w:val="24"/>
              </w:rPr>
            </w:pPr>
          </w:p>
        </w:tc>
        <w:tc>
          <w:tcPr>
            <w:tcW w:w="7240" w:type="dxa"/>
          </w:tcPr>
          <w:p>
            <w:pPr>
              <w:rPr>
                <w:rFonts w:ascii="仿宋" w:hAnsi="仿宋" w:eastAsia="仿宋"/>
                <w:sz w:val="24"/>
              </w:rPr>
            </w:pPr>
          </w:p>
        </w:tc>
        <w:tc>
          <w:tcPr>
            <w:tcW w:w="1452"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668" w:type="dxa"/>
          </w:tcPr>
          <w:p>
            <w:pPr>
              <w:jc w:val="center"/>
              <w:rPr>
                <w:rFonts w:ascii="仿宋" w:hAnsi="仿宋" w:eastAsia="仿宋"/>
                <w:sz w:val="24"/>
              </w:rPr>
            </w:pPr>
          </w:p>
        </w:tc>
        <w:tc>
          <w:tcPr>
            <w:tcW w:w="1706" w:type="dxa"/>
          </w:tcPr>
          <w:p>
            <w:pPr>
              <w:jc w:val="center"/>
              <w:rPr>
                <w:rFonts w:ascii="仿宋" w:hAnsi="仿宋" w:eastAsia="仿宋"/>
                <w:sz w:val="24"/>
              </w:rPr>
            </w:pPr>
          </w:p>
        </w:tc>
        <w:tc>
          <w:tcPr>
            <w:tcW w:w="2129" w:type="dxa"/>
          </w:tcPr>
          <w:p>
            <w:pPr>
              <w:jc w:val="center"/>
              <w:rPr>
                <w:rFonts w:ascii="仿宋" w:hAnsi="仿宋" w:eastAsia="仿宋"/>
                <w:sz w:val="24"/>
              </w:rPr>
            </w:pPr>
          </w:p>
        </w:tc>
        <w:tc>
          <w:tcPr>
            <w:tcW w:w="7240" w:type="dxa"/>
          </w:tcPr>
          <w:p>
            <w:pPr>
              <w:rPr>
                <w:rFonts w:ascii="仿宋" w:hAnsi="仿宋" w:eastAsia="仿宋"/>
                <w:sz w:val="24"/>
              </w:rPr>
            </w:pPr>
          </w:p>
        </w:tc>
        <w:tc>
          <w:tcPr>
            <w:tcW w:w="1452"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668" w:type="dxa"/>
          </w:tcPr>
          <w:p>
            <w:pPr>
              <w:jc w:val="center"/>
              <w:rPr>
                <w:rFonts w:ascii="仿宋" w:hAnsi="仿宋" w:eastAsia="仿宋"/>
                <w:sz w:val="24"/>
              </w:rPr>
            </w:pPr>
          </w:p>
        </w:tc>
        <w:tc>
          <w:tcPr>
            <w:tcW w:w="1706" w:type="dxa"/>
          </w:tcPr>
          <w:p>
            <w:pPr>
              <w:jc w:val="center"/>
              <w:rPr>
                <w:rFonts w:ascii="仿宋" w:hAnsi="仿宋" w:eastAsia="仿宋"/>
                <w:sz w:val="24"/>
              </w:rPr>
            </w:pPr>
          </w:p>
        </w:tc>
        <w:tc>
          <w:tcPr>
            <w:tcW w:w="2129" w:type="dxa"/>
          </w:tcPr>
          <w:p>
            <w:pPr>
              <w:jc w:val="center"/>
              <w:rPr>
                <w:rFonts w:ascii="仿宋" w:hAnsi="仿宋" w:eastAsia="仿宋"/>
                <w:sz w:val="24"/>
              </w:rPr>
            </w:pPr>
          </w:p>
        </w:tc>
        <w:tc>
          <w:tcPr>
            <w:tcW w:w="7240" w:type="dxa"/>
          </w:tcPr>
          <w:p>
            <w:pPr>
              <w:rPr>
                <w:rFonts w:ascii="仿宋" w:hAnsi="仿宋" w:eastAsia="仿宋"/>
                <w:sz w:val="24"/>
              </w:rPr>
            </w:pPr>
          </w:p>
        </w:tc>
        <w:tc>
          <w:tcPr>
            <w:tcW w:w="1452"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668" w:type="dxa"/>
          </w:tcPr>
          <w:p>
            <w:pPr>
              <w:jc w:val="center"/>
              <w:rPr>
                <w:rFonts w:ascii="仿宋" w:hAnsi="仿宋" w:eastAsia="仿宋"/>
                <w:sz w:val="24"/>
              </w:rPr>
            </w:pPr>
          </w:p>
        </w:tc>
        <w:tc>
          <w:tcPr>
            <w:tcW w:w="1706" w:type="dxa"/>
          </w:tcPr>
          <w:p>
            <w:pPr>
              <w:jc w:val="center"/>
              <w:rPr>
                <w:rFonts w:ascii="仿宋" w:hAnsi="仿宋" w:eastAsia="仿宋"/>
                <w:sz w:val="24"/>
              </w:rPr>
            </w:pPr>
          </w:p>
        </w:tc>
        <w:tc>
          <w:tcPr>
            <w:tcW w:w="2129" w:type="dxa"/>
          </w:tcPr>
          <w:p>
            <w:pPr>
              <w:jc w:val="center"/>
              <w:rPr>
                <w:rFonts w:ascii="仿宋" w:hAnsi="仿宋" w:eastAsia="仿宋"/>
                <w:sz w:val="24"/>
              </w:rPr>
            </w:pPr>
          </w:p>
        </w:tc>
        <w:tc>
          <w:tcPr>
            <w:tcW w:w="7240" w:type="dxa"/>
          </w:tcPr>
          <w:p>
            <w:pPr>
              <w:jc w:val="left"/>
              <w:rPr>
                <w:rFonts w:ascii="仿宋" w:hAnsi="仿宋" w:eastAsia="仿宋"/>
                <w:sz w:val="24"/>
              </w:rPr>
            </w:pPr>
          </w:p>
        </w:tc>
        <w:tc>
          <w:tcPr>
            <w:tcW w:w="1452"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668" w:type="dxa"/>
          </w:tcPr>
          <w:p>
            <w:pPr>
              <w:jc w:val="center"/>
              <w:rPr>
                <w:rFonts w:ascii="仿宋" w:hAnsi="仿宋" w:eastAsia="仿宋"/>
                <w:sz w:val="24"/>
              </w:rPr>
            </w:pPr>
          </w:p>
        </w:tc>
        <w:tc>
          <w:tcPr>
            <w:tcW w:w="1706" w:type="dxa"/>
          </w:tcPr>
          <w:p>
            <w:pPr>
              <w:jc w:val="center"/>
              <w:rPr>
                <w:rFonts w:ascii="仿宋" w:hAnsi="仿宋" w:eastAsia="仿宋"/>
                <w:sz w:val="24"/>
              </w:rPr>
            </w:pPr>
          </w:p>
        </w:tc>
        <w:tc>
          <w:tcPr>
            <w:tcW w:w="2129" w:type="dxa"/>
          </w:tcPr>
          <w:p>
            <w:pPr>
              <w:jc w:val="center"/>
              <w:rPr>
                <w:rFonts w:ascii="仿宋" w:hAnsi="仿宋" w:eastAsia="仿宋"/>
                <w:sz w:val="24"/>
              </w:rPr>
            </w:pPr>
          </w:p>
        </w:tc>
        <w:tc>
          <w:tcPr>
            <w:tcW w:w="7240" w:type="dxa"/>
          </w:tcPr>
          <w:p>
            <w:pPr>
              <w:jc w:val="left"/>
              <w:rPr>
                <w:rFonts w:ascii="仿宋" w:hAnsi="仿宋" w:eastAsia="仿宋"/>
                <w:sz w:val="24"/>
              </w:rPr>
            </w:pPr>
          </w:p>
        </w:tc>
        <w:tc>
          <w:tcPr>
            <w:tcW w:w="1452"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668" w:type="dxa"/>
          </w:tcPr>
          <w:p>
            <w:pPr>
              <w:jc w:val="center"/>
              <w:rPr>
                <w:rFonts w:ascii="仿宋" w:hAnsi="仿宋" w:eastAsia="仿宋"/>
                <w:sz w:val="24"/>
              </w:rPr>
            </w:pPr>
          </w:p>
        </w:tc>
        <w:tc>
          <w:tcPr>
            <w:tcW w:w="1706" w:type="dxa"/>
          </w:tcPr>
          <w:p>
            <w:pPr>
              <w:jc w:val="center"/>
              <w:rPr>
                <w:rFonts w:ascii="仿宋" w:hAnsi="仿宋" w:eastAsia="仿宋"/>
                <w:sz w:val="24"/>
              </w:rPr>
            </w:pPr>
          </w:p>
        </w:tc>
        <w:tc>
          <w:tcPr>
            <w:tcW w:w="2129" w:type="dxa"/>
          </w:tcPr>
          <w:p>
            <w:pPr>
              <w:jc w:val="center"/>
              <w:rPr>
                <w:rFonts w:ascii="仿宋" w:hAnsi="仿宋" w:eastAsia="仿宋"/>
                <w:sz w:val="24"/>
              </w:rPr>
            </w:pPr>
          </w:p>
        </w:tc>
        <w:tc>
          <w:tcPr>
            <w:tcW w:w="7240" w:type="dxa"/>
          </w:tcPr>
          <w:p>
            <w:pPr>
              <w:jc w:val="left"/>
              <w:rPr>
                <w:rFonts w:ascii="仿宋" w:hAnsi="仿宋" w:eastAsia="仿宋"/>
                <w:sz w:val="24"/>
              </w:rPr>
            </w:pPr>
          </w:p>
        </w:tc>
        <w:tc>
          <w:tcPr>
            <w:tcW w:w="1452" w:type="dxa"/>
          </w:tcPr>
          <w:p>
            <w:pPr>
              <w:jc w:val="center"/>
              <w:rPr>
                <w:rFonts w:ascii="仿宋" w:hAnsi="仿宋" w:eastAsia="仿宋"/>
                <w:sz w:val="24"/>
              </w:rPr>
            </w:pPr>
          </w:p>
        </w:tc>
      </w:tr>
    </w:tbl>
    <w:p>
      <w:pPr>
        <w:spacing w:line="20" w:lineRule="exact"/>
        <w:rPr>
          <w:sz w:val="2"/>
        </w:rPr>
      </w:pPr>
    </w:p>
    <w:p>
      <w:pPr>
        <w:spacing w:line="20" w:lineRule="exact"/>
        <w:rPr>
          <w:sz w:val="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w:t>
    </w:r>
    <w:r>
      <w:t xml:space="preserve"> 8 -</w: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6E05F3"/>
    <w:multiLevelType w:val="singleLevel"/>
    <w:tmpl w:val="B26E05F3"/>
    <w:lvl w:ilvl="0" w:tentative="0">
      <w:start w:val="3"/>
      <w:numFmt w:val="chineseCounting"/>
      <w:suff w:val="nothing"/>
      <w:lvlText w:val="%1、"/>
      <w:lvlJc w:val="left"/>
      <w:rPr>
        <w:rFonts w:hint="eastAsia"/>
      </w:rPr>
    </w:lvl>
  </w:abstractNum>
  <w:abstractNum w:abstractNumId="1">
    <w:nsid w:val="0B5BBE86"/>
    <w:multiLevelType w:val="singleLevel"/>
    <w:tmpl w:val="0B5BBE86"/>
    <w:lvl w:ilvl="0" w:tentative="0">
      <w:start w:val="1"/>
      <w:numFmt w:val="decimal"/>
      <w:suff w:val="nothing"/>
      <w:lvlText w:val="（%1）"/>
      <w:lvlJc w:val="left"/>
    </w:lvl>
  </w:abstractNum>
  <w:abstractNum w:abstractNumId="2">
    <w:nsid w:val="617587BE"/>
    <w:multiLevelType w:val="singleLevel"/>
    <w:tmpl w:val="617587BE"/>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yODVlZWYzN2JmYjNkNDE2OTU2MDAwMTNmNTE1MmEifQ=="/>
  </w:docVars>
  <w:rsids>
    <w:rsidRoot w:val="56371262"/>
    <w:rsid w:val="0006545E"/>
    <w:rsid w:val="000A02BB"/>
    <w:rsid w:val="00291A61"/>
    <w:rsid w:val="006748EB"/>
    <w:rsid w:val="006811B6"/>
    <w:rsid w:val="007566B2"/>
    <w:rsid w:val="007E6392"/>
    <w:rsid w:val="007F2341"/>
    <w:rsid w:val="00872A65"/>
    <w:rsid w:val="008B5D6E"/>
    <w:rsid w:val="009472E0"/>
    <w:rsid w:val="00AA18FE"/>
    <w:rsid w:val="00C334B6"/>
    <w:rsid w:val="00ED5CD6"/>
    <w:rsid w:val="00F50616"/>
    <w:rsid w:val="00FA3ED9"/>
    <w:rsid w:val="09620C56"/>
    <w:rsid w:val="0FED29F8"/>
    <w:rsid w:val="1A37709D"/>
    <w:rsid w:val="2A160033"/>
    <w:rsid w:val="2E71062F"/>
    <w:rsid w:val="39964ECE"/>
    <w:rsid w:val="4869116F"/>
    <w:rsid w:val="4C392F05"/>
    <w:rsid w:val="53D0673A"/>
    <w:rsid w:val="56371262"/>
    <w:rsid w:val="59F246A9"/>
    <w:rsid w:val="5F243332"/>
    <w:rsid w:val="606C0140"/>
    <w:rsid w:val="66360BD3"/>
    <w:rsid w:val="66FF3C72"/>
    <w:rsid w:val="70096E04"/>
    <w:rsid w:val="760B4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semiHidden/>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uiPriority w:val="0"/>
  </w:style>
  <w:style w:type="character" w:styleId="11">
    <w:name w:val="Hyperlink"/>
    <w:basedOn w:val="8"/>
    <w:qFormat/>
    <w:uiPriority w:val="0"/>
    <w:rPr>
      <w:color w:val="0000FF"/>
      <w:u w:val="single"/>
    </w:rPr>
  </w:style>
  <w:style w:type="character" w:customStyle="1" w:styleId="12">
    <w:name w:val="页眉 字符"/>
    <w:basedOn w:val="8"/>
    <w:link w:val="4"/>
    <w:qFormat/>
    <w:uiPriority w:val="0"/>
    <w:rPr>
      <w:rFonts w:ascii="Times New Roman" w:hAnsi="Times New Roman" w:eastAsia="宋体" w:cs="Times New Roman"/>
      <w:kern w:val="2"/>
      <w:sz w:val="18"/>
      <w:szCs w:val="18"/>
    </w:rPr>
  </w:style>
  <w:style w:type="character" w:customStyle="1" w:styleId="13">
    <w:name w:val="批注框文本 字符"/>
    <w:basedOn w:val="8"/>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4252</Words>
  <Characters>4368</Characters>
  <Lines>34</Lines>
  <Paragraphs>9</Paragraphs>
  <TotalTime>5</TotalTime>
  <ScaleCrop>false</ScaleCrop>
  <LinksUpToDate>false</LinksUpToDate>
  <CharactersWithSpaces>4545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2022-08-30T08:21:00Z</dcterms:created>
  <dc:creator>ZxW</dc:creator>
  <cp:lastModifiedBy>ZxW</cp:lastModifiedBy>
  <cp:lastPrinted>2022-08-30T08:34:00Z</cp:lastPrinted>
  <dcterms:modified xsi:type="dcterms:W3CDTF">2022-09-02T04:17:04Z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3B73535AB481407AA658B1A5D5B7D8F4</vt:lpwstr>
  </property>
</Properties>
</file>